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9A56F5" w14:paraId="090A498D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75AB317" w14:textId="77777777" w:rsidR="00A80767" w:rsidRPr="00B24FC9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1D956BC6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09D48E5E" wp14:editId="3A666518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2844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08544C6C" w14:textId="77777777" w:rsidR="00A80767" w:rsidRPr="00B24FC9" w:rsidRDefault="001E2844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OBSERVATION, INFRASTRUCTURE AND INFORMATION SYSTEMS</w:t>
            </w:r>
          </w:p>
          <w:p w14:paraId="25047545" w14:textId="77777777" w:rsidR="00A80767" w:rsidRPr="00B24FC9" w:rsidRDefault="001E2844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Third Session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15 to 19 April 2024, Geneva</w:t>
            </w:r>
          </w:p>
        </w:tc>
        <w:tc>
          <w:tcPr>
            <w:tcW w:w="2962" w:type="dxa"/>
          </w:tcPr>
          <w:p w14:paraId="3713AE16" w14:textId="77777777" w:rsidR="00A80767" w:rsidRPr="00FA3986" w:rsidRDefault="001E2844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INFCOM-3/Doc. 4.1</w:t>
            </w:r>
          </w:p>
        </w:tc>
      </w:tr>
      <w:tr w:rsidR="00A80767" w:rsidRPr="00B24FC9" w14:paraId="1A54EA5D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6AB46B9B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2690FACB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22F1FD4A" w14:textId="77777777" w:rsidR="00A80767" w:rsidRPr="004C6B2F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4C6B2F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4C6B2F">
              <w:rPr>
                <w:rFonts w:cs="Tahoma"/>
                <w:color w:val="365F91" w:themeColor="accent1" w:themeShade="BF"/>
                <w:szCs w:val="22"/>
              </w:rPr>
              <w:br/>
              <w:t xml:space="preserve">President of the Commission </w:t>
            </w:r>
          </w:p>
          <w:p w14:paraId="388EB48F" w14:textId="06582F31" w:rsidR="00A80767" w:rsidRPr="004C6B2F" w:rsidRDefault="001A6F41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en-US"/>
              </w:rPr>
              <w:t>5</w:t>
            </w:r>
            <w:r w:rsidR="001E2844" w:rsidRPr="004C6B2F">
              <w:rPr>
                <w:rFonts w:cs="Tahoma"/>
                <w:color w:val="365F91" w:themeColor="accent1" w:themeShade="BF"/>
                <w:szCs w:val="22"/>
              </w:rPr>
              <w:t>.</w:t>
            </w:r>
            <w:proofErr w:type="spellStart"/>
            <w:r w:rsidR="001E2844" w:rsidRPr="004C6B2F">
              <w:rPr>
                <w:rFonts w:cs="Tahoma"/>
                <w:color w:val="365F91" w:themeColor="accent1" w:themeShade="BF"/>
                <w:szCs w:val="22"/>
              </w:rPr>
              <w:t>I</w:t>
            </w:r>
            <w:r>
              <w:rPr>
                <w:rFonts w:cs="Tahoma"/>
                <w:color w:val="365F91" w:themeColor="accent1" w:themeShade="BF"/>
                <w:szCs w:val="22"/>
              </w:rPr>
              <w:t>I</w:t>
            </w:r>
            <w:r w:rsidR="001E2844" w:rsidRPr="004C6B2F">
              <w:rPr>
                <w:rFonts w:cs="Tahoma"/>
                <w:color w:val="365F91" w:themeColor="accent1" w:themeShade="BF"/>
                <w:szCs w:val="22"/>
              </w:rPr>
              <w:t>I.2024</w:t>
            </w:r>
            <w:proofErr w:type="spellEnd"/>
          </w:p>
          <w:p w14:paraId="55B1A006" w14:textId="77777777" w:rsidR="00A80767" w:rsidRPr="004C6B2F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4C6B2F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</w:p>
        </w:tc>
      </w:tr>
    </w:tbl>
    <w:p w14:paraId="46AF9FA4" w14:textId="77777777" w:rsidR="00A80767" w:rsidRPr="00B24FC9" w:rsidRDefault="001E2844" w:rsidP="00A80767">
      <w:pPr>
        <w:pStyle w:val="WMOBodyText"/>
        <w:ind w:left="2977" w:hanging="2977"/>
      </w:pPr>
      <w:r>
        <w:rPr>
          <w:b/>
          <w:bCs/>
        </w:rPr>
        <w:t>AGENDA ITEM 4:</w:t>
      </w:r>
      <w:r>
        <w:rPr>
          <w:b/>
          <w:bCs/>
        </w:rPr>
        <w:tab/>
        <w:t>REVIEW OF PREVIOUS DECISIONS OF CONGRESS, THE EXECUTIVE COUNCIL AND THE COMMISSION</w:t>
      </w:r>
    </w:p>
    <w:p w14:paraId="5A8C36B6" w14:textId="77777777" w:rsidR="00A80767" w:rsidRPr="00B24FC9" w:rsidRDefault="001E2844" w:rsidP="00A80767">
      <w:pPr>
        <w:pStyle w:val="WMOBodyText"/>
        <w:ind w:left="2977" w:hanging="2977"/>
      </w:pPr>
      <w:r>
        <w:rPr>
          <w:b/>
          <w:bCs/>
        </w:rPr>
        <w:t>AGENDA ITEM 4.1:</w:t>
      </w:r>
      <w:r>
        <w:rPr>
          <w:b/>
          <w:bCs/>
        </w:rPr>
        <w:tab/>
        <w:t>Review of previous resolutions and recommendations of the Commission</w:t>
      </w:r>
    </w:p>
    <w:p w14:paraId="501BBFAE" w14:textId="77777777" w:rsidR="00A80767" w:rsidRDefault="00C91782" w:rsidP="00A80767">
      <w:pPr>
        <w:pStyle w:val="Heading1"/>
      </w:pPr>
      <w:bookmarkStart w:id="0" w:name="_APPENDIX_A:_"/>
      <w:bookmarkEnd w:id="0"/>
      <w:r w:rsidRPr="00C91782">
        <w:t>Review of previous resolutions and recommendations of the Commission</w:t>
      </w:r>
    </w:p>
    <w:p w14:paraId="53954EB3" w14:textId="77777777" w:rsidR="00092CAE" w:rsidRDefault="00092CAE" w:rsidP="00092CAE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48B4" w14:paraId="6BE98E0C" w14:textId="77777777" w:rsidTr="001A6F41">
        <w:trPr>
          <w:jc w:val="center"/>
        </w:trPr>
        <w:tc>
          <w:tcPr>
            <w:tcW w:w="5000" w:type="pct"/>
          </w:tcPr>
          <w:p w14:paraId="21F916B9" w14:textId="77777777" w:rsidR="000731AA" w:rsidRPr="00C91782" w:rsidRDefault="000731AA" w:rsidP="00C91782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DE48B4">
              <w:rPr>
                <w:rFonts w:ascii="Verdana Bold" w:hAnsi="Verdana Bold" w:cstheme="minorHAnsi"/>
                <w:b/>
                <w:bCs/>
                <w:caps/>
              </w:rPr>
              <w:t>Summary</w:t>
            </w:r>
          </w:p>
        </w:tc>
      </w:tr>
      <w:tr w:rsidR="000731AA" w:rsidRPr="00DE48B4" w14:paraId="2F88F846" w14:textId="77777777" w:rsidTr="001A6F41">
        <w:trPr>
          <w:jc w:val="center"/>
        </w:trPr>
        <w:tc>
          <w:tcPr>
            <w:tcW w:w="5000" w:type="pct"/>
          </w:tcPr>
          <w:p w14:paraId="79FB5033" w14:textId="1B36342A" w:rsidR="000731AA" w:rsidRDefault="000731AA" w:rsidP="00795D3E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Document presented by:</w:t>
            </w:r>
            <w:r>
              <w:t xml:space="preserve"> </w:t>
            </w:r>
            <w:r w:rsidR="001A6F41">
              <w:t>P</w:t>
            </w:r>
            <w:r w:rsidR="00C121C1" w:rsidRPr="00C91782">
              <w:t xml:space="preserve">resident of the Commission in accordance </w:t>
            </w:r>
            <w:hyperlink r:id="rId12" w:history="1">
              <w:r w:rsidR="00C121C1" w:rsidRPr="00D6472C">
                <w:rPr>
                  <w:rStyle w:val="Hyperlink"/>
                </w:rPr>
                <w:t xml:space="preserve">with Rule </w:t>
              </w:r>
              <w:r w:rsidR="00416BE1" w:rsidRPr="00D6472C">
                <w:rPr>
                  <w:rStyle w:val="Hyperlink"/>
                </w:rPr>
                <w:t>6</w:t>
              </w:r>
              <w:r w:rsidR="00416BE1" w:rsidRPr="00D6472C">
                <w:rPr>
                  <w:rStyle w:val="Hyperlink"/>
                </w:rPr>
                <w:t>.</w:t>
              </w:r>
              <w:r w:rsidR="00416BE1" w:rsidRPr="00D6472C">
                <w:rPr>
                  <w:rStyle w:val="Hyperlink"/>
                </w:rPr>
                <w:t>13.1 (h)</w:t>
              </w:r>
            </w:hyperlink>
            <w:r w:rsidR="00416BE1" w:rsidRPr="00C91782">
              <w:t xml:space="preserve"> of the </w:t>
            </w:r>
            <w:hyperlink r:id="rId13" w:history="1">
              <w:r w:rsidR="00416BE1" w:rsidRPr="00E4566C">
                <w:rPr>
                  <w:rStyle w:val="Hyperlink"/>
                  <w:i/>
                  <w:iCs/>
                </w:rPr>
                <w:t>Rules of Procedure for Technic</w:t>
              </w:r>
              <w:r w:rsidR="00416BE1" w:rsidRPr="00E4566C">
                <w:rPr>
                  <w:rStyle w:val="Hyperlink"/>
                  <w:i/>
                  <w:iCs/>
                </w:rPr>
                <w:t>a</w:t>
              </w:r>
              <w:r w:rsidR="00416BE1" w:rsidRPr="00E4566C">
                <w:rPr>
                  <w:rStyle w:val="Hyperlink"/>
                  <w:i/>
                  <w:iCs/>
                </w:rPr>
                <w:t>l Commissions</w:t>
              </w:r>
            </w:hyperlink>
            <w:r w:rsidR="00416BE1" w:rsidRPr="00C91782">
              <w:t xml:space="preserve"> (WMO-No.</w:t>
            </w:r>
            <w:r w:rsidR="001A6F41">
              <w:t> 1</w:t>
            </w:r>
            <w:r w:rsidR="00416BE1" w:rsidRPr="00C91782">
              <w:t>240)</w:t>
            </w:r>
            <w:r w:rsidRPr="00C91782">
              <w:t>.</w:t>
            </w:r>
          </w:p>
          <w:p w14:paraId="3940BFD2" w14:textId="77777777" w:rsidR="000731AA" w:rsidRDefault="000731AA" w:rsidP="00795D3E">
            <w:pPr>
              <w:pStyle w:val="WMOBodyText"/>
              <w:spacing w:before="160"/>
              <w:jc w:val="left"/>
              <w:rPr>
                <w:b/>
                <w:bCs/>
              </w:rPr>
            </w:pPr>
            <w:r w:rsidRPr="00A35159">
              <w:rPr>
                <w:b/>
                <w:bCs/>
              </w:rPr>
              <w:t>Strategic objective 202</w:t>
            </w:r>
            <w:r w:rsidR="00A75555">
              <w:rPr>
                <w:b/>
                <w:bCs/>
              </w:rPr>
              <w:t>4</w:t>
            </w:r>
            <w:r w:rsidRPr="00A35159">
              <w:rPr>
                <w:b/>
                <w:bCs/>
              </w:rPr>
              <w:t>–202</w:t>
            </w:r>
            <w:r w:rsidR="00A75555">
              <w:rPr>
                <w:b/>
                <w:bCs/>
              </w:rPr>
              <w:t>7</w:t>
            </w:r>
            <w:r w:rsidRPr="00A35159">
              <w:rPr>
                <w:b/>
                <w:bCs/>
              </w:rPr>
              <w:t xml:space="preserve">: </w:t>
            </w:r>
            <w:r w:rsidR="005131AC" w:rsidRPr="005131AC">
              <w:t>5.1 Optimize WMO constituent body structure for more effective decision-making</w:t>
            </w:r>
          </w:p>
          <w:p w14:paraId="040BA88B" w14:textId="77777777" w:rsidR="000731AA" w:rsidRDefault="000731AA" w:rsidP="00795D3E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Financial and administrative implications:</w:t>
            </w:r>
            <w:r>
              <w:t xml:space="preserve"> </w:t>
            </w:r>
            <w:r w:rsidR="009A56F5" w:rsidRPr="00C91782">
              <w:t>within the parameters of the Strategic and Operating Plans 2024–2027</w:t>
            </w:r>
          </w:p>
          <w:p w14:paraId="4E4D9A63" w14:textId="5B778175" w:rsidR="000731AA" w:rsidRDefault="000731AA" w:rsidP="00795D3E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Key implementers:</w:t>
            </w:r>
            <w:r>
              <w:t xml:space="preserve"> </w:t>
            </w:r>
            <w:r w:rsidR="005206C0">
              <w:t xml:space="preserve">primarily </w:t>
            </w:r>
            <w:r w:rsidR="00F60BA9">
              <w:t>INFCOM</w:t>
            </w:r>
            <w:r w:rsidR="005206C0">
              <w:t xml:space="preserve">, in collaboration with other bodies depending on </w:t>
            </w:r>
            <w:r w:rsidR="006F37C4">
              <w:t>resolutions and decision</w:t>
            </w:r>
            <w:r w:rsidR="001A6F41">
              <w:t>s</w:t>
            </w:r>
            <w:r w:rsidR="006F37C4">
              <w:t>.</w:t>
            </w:r>
          </w:p>
          <w:p w14:paraId="1228A328" w14:textId="55F43111" w:rsidR="000731AA" w:rsidRDefault="000731AA" w:rsidP="00795D3E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Time</w:t>
            </w:r>
            <w:r w:rsidR="001A6F41">
              <w:rPr>
                <w:b/>
                <w:bCs/>
              </w:rPr>
              <w:t xml:space="preserve"> </w:t>
            </w:r>
            <w:r w:rsidRPr="000E67E2">
              <w:rPr>
                <w:b/>
                <w:bCs/>
              </w:rPr>
              <w:t>frame:</w:t>
            </w:r>
            <w:r>
              <w:t xml:space="preserve"> </w:t>
            </w:r>
            <w:r w:rsidR="009A56F5" w:rsidRPr="00C91782">
              <w:t>2024</w:t>
            </w:r>
            <w:r w:rsidR="001A6F41">
              <w:t>–2</w:t>
            </w:r>
            <w:r w:rsidR="009A56F5" w:rsidRPr="00C91782">
              <w:t>02</w:t>
            </w:r>
            <w:r w:rsidR="006F37C4">
              <w:t>6</w:t>
            </w:r>
          </w:p>
          <w:p w14:paraId="3C07EB2E" w14:textId="478B4A99" w:rsidR="000731AA" w:rsidRDefault="000731AA" w:rsidP="00795D3E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Action expected:</w:t>
            </w:r>
            <w:r>
              <w:t xml:space="preserve"> </w:t>
            </w:r>
            <w:r w:rsidR="001A6F41">
              <w:t>C</w:t>
            </w:r>
            <w:r w:rsidR="009A56F5" w:rsidRPr="00C91782">
              <w:t>onsider and adopt the proposed draft resolution</w:t>
            </w:r>
          </w:p>
          <w:p w14:paraId="16D61FA7" w14:textId="77777777" w:rsidR="000731AA" w:rsidRPr="00DE48B4" w:rsidRDefault="000731AA" w:rsidP="00795D3E">
            <w:pPr>
              <w:pStyle w:val="WMOBodyText"/>
              <w:spacing w:before="160"/>
              <w:jc w:val="left"/>
            </w:pPr>
          </w:p>
        </w:tc>
      </w:tr>
    </w:tbl>
    <w:p w14:paraId="34A96E85" w14:textId="77777777" w:rsidR="00092CAE" w:rsidRDefault="00092CAE">
      <w:pPr>
        <w:tabs>
          <w:tab w:val="clear" w:pos="1134"/>
        </w:tabs>
        <w:jc w:val="left"/>
      </w:pPr>
    </w:p>
    <w:p w14:paraId="6301BD08" w14:textId="77777777" w:rsidR="0033196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br w:type="page"/>
      </w:r>
    </w:p>
    <w:p w14:paraId="54BDB824" w14:textId="77777777" w:rsidR="00A80767" w:rsidRPr="00B24FC9" w:rsidRDefault="00A80767" w:rsidP="00A80767">
      <w:pPr>
        <w:pStyle w:val="Heading1"/>
      </w:pPr>
      <w:r w:rsidRPr="00B24FC9">
        <w:lastRenderedPageBreak/>
        <w:t>DRAFT RESOLUTION</w:t>
      </w:r>
    </w:p>
    <w:p w14:paraId="0D4E2DEC" w14:textId="77777777" w:rsidR="00A80767" w:rsidRPr="00B24FC9" w:rsidRDefault="00A80767" w:rsidP="00A80767">
      <w:pPr>
        <w:pStyle w:val="Heading2"/>
      </w:pPr>
      <w:r w:rsidRPr="00B24FC9">
        <w:t xml:space="preserve">Draft Resolution </w:t>
      </w:r>
      <w:r w:rsidR="001E2844">
        <w:t>4.1</w:t>
      </w:r>
      <w:r w:rsidRPr="00B24FC9">
        <w:t xml:space="preserve">/1 </w:t>
      </w:r>
      <w:r w:rsidR="001E2844">
        <w:t>(INFCOM-3)</w:t>
      </w:r>
    </w:p>
    <w:p w14:paraId="0B447F58" w14:textId="77777777" w:rsidR="00A80767" w:rsidRPr="00B24FC9" w:rsidRDefault="00B95639" w:rsidP="00A80767">
      <w:pPr>
        <w:pStyle w:val="Heading2"/>
      </w:pPr>
      <w:r w:rsidRPr="00B95639">
        <w:t>Review of previous resolutions and recommendations of the Commission</w:t>
      </w:r>
    </w:p>
    <w:p w14:paraId="5DD606D1" w14:textId="77777777" w:rsidR="00A80767" w:rsidRPr="00B24FC9" w:rsidRDefault="00A80767" w:rsidP="00A80767">
      <w:pPr>
        <w:pStyle w:val="WMOBodyText"/>
      </w:pPr>
      <w:r w:rsidRPr="00B24FC9">
        <w:t xml:space="preserve">THE </w:t>
      </w:r>
      <w:r w:rsidR="001E2844">
        <w:t>COMMISSION FOR OBSERVATION, INFRASTRUCTURE AND INFORMATION SYSTEMS</w:t>
      </w:r>
      <w:r w:rsidRPr="00B24FC9">
        <w:t>,</w:t>
      </w:r>
    </w:p>
    <w:p w14:paraId="76D07470" w14:textId="4F03E7AC" w:rsidR="00A80767" w:rsidRDefault="00A80767" w:rsidP="00A80767">
      <w:pPr>
        <w:pStyle w:val="WMOBodyText"/>
      </w:pPr>
      <w:r w:rsidRPr="00B24FC9">
        <w:rPr>
          <w:b/>
        </w:rPr>
        <w:t>Having examined</w:t>
      </w:r>
      <w:r w:rsidRPr="00B24FC9">
        <w:t xml:space="preserve"> </w:t>
      </w:r>
      <w:r w:rsidR="006A6503" w:rsidRPr="006A6503">
        <w:t xml:space="preserve">the status of implementation of previous resolutions, decisions and recommendations of the Commission reported in </w:t>
      </w:r>
      <w:hyperlink r:id="rId14" w:history="1">
        <w:r w:rsidR="006A6503" w:rsidRPr="001A6F41">
          <w:rPr>
            <w:rStyle w:val="Hyperlink"/>
          </w:rPr>
          <w:t>INFCOM-3/INF. 4.1</w:t>
        </w:r>
      </w:hyperlink>
      <w:r w:rsidRPr="00B24FC9">
        <w:t>,</w:t>
      </w:r>
    </w:p>
    <w:p w14:paraId="360FD7D6" w14:textId="77777777" w:rsidR="003E6B5B" w:rsidRPr="004C013B" w:rsidRDefault="003E6B5B" w:rsidP="003E6B5B">
      <w:pPr>
        <w:pStyle w:val="WMOBodyText"/>
        <w:rPr>
          <w:bCs/>
        </w:rPr>
      </w:pPr>
      <w:r w:rsidRPr="00DC1622">
        <w:rPr>
          <w:b/>
        </w:rPr>
        <w:t>Taking into account</w:t>
      </w:r>
      <w:r w:rsidRPr="004C013B">
        <w:rPr>
          <w:bCs/>
        </w:rPr>
        <w:t xml:space="preserve"> the body of decisions agreed at the present session of the </w:t>
      </w:r>
      <w:r>
        <w:rPr>
          <w:bCs/>
        </w:rPr>
        <w:t>Commission</w:t>
      </w:r>
      <w:r w:rsidRPr="004C013B">
        <w:rPr>
          <w:bCs/>
        </w:rPr>
        <w:t>,</w:t>
      </w:r>
    </w:p>
    <w:p w14:paraId="18D7FCFE" w14:textId="77777777" w:rsidR="003E6B5B" w:rsidRPr="00B24FC9" w:rsidRDefault="003E6B5B" w:rsidP="003E6B5B">
      <w:pPr>
        <w:pStyle w:val="WMOBodyText"/>
      </w:pPr>
      <w:r w:rsidRPr="00B24FC9">
        <w:rPr>
          <w:b/>
        </w:rPr>
        <w:t>Decides</w:t>
      </w:r>
      <w:r>
        <w:rPr>
          <w:bCs/>
        </w:rPr>
        <w:t>:</w:t>
      </w:r>
    </w:p>
    <w:p w14:paraId="3111645B" w14:textId="77777777" w:rsidR="003E6B5B" w:rsidRPr="00B24FC9" w:rsidRDefault="003E6B5B" w:rsidP="003E6B5B">
      <w:pPr>
        <w:pStyle w:val="WMOIndent1"/>
      </w:pPr>
      <w:r w:rsidRPr="00B24FC9">
        <w:t>(1)</w:t>
      </w:r>
      <w:r w:rsidRPr="00B24FC9">
        <w:tab/>
      </w:r>
      <w:r>
        <w:t>To keep in force the following resolutions:</w:t>
      </w:r>
    </w:p>
    <w:p w14:paraId="0343C6DC" w14:textId="77777777" w:rsidR="003E6B5B" w:rsidRPr="00911A04" w:rsidRDefault="003E6B5B" w:rsidP="00911A04">
      <w:pPr>
        <w:pStyle w:val="WMOBodyText"/>
        <w:keepNext/>
        <w:keepLines/>
        <w:ind w:left="567"/>
        <w:rPr>
          <w:color w:val="000000"/>
        </w:rPr>
      </w:pPr>
      <w:r w:rsidRPr="00911A04">
        <w:rPr>
          <w:color w:val="000000"/>
        </w:rPr>
        <w:t>INFCOM-1 (2020–2021):</w:t>
      </w:r>
    </w:p>
    <w:p w14:paraId="5A30AA8E" w14:textId="77777777" w:rsidR="00364DDA" w:rsidRPr="00B04085" w:rsidRDefault="00F0247A" w:rsidP="00364DDA">
      <w:pPr>
        <w:spacing w:before="240"/>
        <w:ind w:left="1134" w:hanging="567"/>
        <w:jc w:val="left"/>
        <w:rPr>
          <w:rStyle w:val="Hyperlink"/>
          <w:rFonts w:eastAsia="Verdana" w:cs="Verdana"/>
          <w:color w:val="auto"/>
          <w:lang w:eastAsia="zh-TW"/>
        </w:rPr>
      </w:pPr>
      <w:r>
        <w:t>(a)</w:t>
      </w:r>
      <w:r>
        <w:tab/>
      </w:r>
      <w:hyperlink r:id="rId15" w:anchor="page=83" w:history="1">
        <w:r w:rsidR="003E6B5B" w:rsidRPr="000E2A3B">
          <w:rPr>
            <w:rStyle w:val="Hyperlink"/>
            <w:rFonts w:eastAsia="Verdana" w:cs="Verdana"/>
            <w:lang w:eastAsia="zh-TW"/>
          </w:rPr>
          <w:t>Resolutio</w:t>
        </w:r>
        <w:r w:rsidR="003E6B5B" w:rsidRPr="000E2A3B">
          <w:rPr>
            <w:rStyle w:val="Hyperlink"/>
            <w:rFonts w:eastAsia="Verdana" w:cs="Verdana"/>
            <w:lang w:eastAsia="zh-TW"/>
          </w:rPr>
          <w:t>n</w:t>
        </w:r>
        <w:r w:rsidR="003E6B5B" w:rsidRPr="000E2A3B">
          <w:rPr>
            <w:rStyle w:val="Hyperlink"/>
            <w:rFonts w:eastAsia="Verdana" w:cs="Verdana"/>
            <w:lang w:eastAsia="zh-TW"/>
          </w:rPr>
          <w:t> 4 (INFCOM-1)</w:t>
        </w:r>
      </w:hyperlink>
      <w:r w:rsidR="003E6B5B" w:rsidRPr="00CB68AD">
        <w:rPr>
          <w:rStyle w:val="Hyperlink"/>
          <w:rFonts w:eastAsia="Verdana" w:cs="Verdana"/>
          <w:lang w:eastAsia="zh-TW"/>
        </w:rPr>
        <w:t xml:space="preserve"> </w:t>
      </w:r>
      <w:r w:rsidR="003E6B5B" w:rsidRPr="00B04085">
        <w:rPr>
          <w:rStyle w:val="Hyperlink"/>
          <w:rFonts w:eastAsia="Verdana" w:cs="Verdana"/>
          <w:color w:val="auto"/>
          <w:lang w:eastAsia="zh-TW"/>
        </w:rPr>
        <w:t>- Future development of the Global Basic Observing Network;</w:t>
      </w:r>
    </w:p>
    <w:p w14:paraId="180BF21E" w14:textId="77777777" w:rsidR="003E6B5B" w:rsidRPr="00B6766A" w:rsidRDefault="00F0247A" w:rsidP="00364DDA">
      <w:pPr>
        <w:spacing w:before="240"/>
        <w:ind w:left="1134" w:hanging="567"/>
        <w:jc w:val="left"/>
        <w:rPr>
          <w:rStyle w:val="Hyperlink"/>
          <w:rFonts w:eastAsia="Verdana" w:cs="Verdana"/>
          <w:color w:val="auto"/>
          <w:lang w:eastAsia="zh-TW"/>
        </w:rPr>
      </w:pPr>
      <w:r>
        <w:t>(b)</w:t>
      </w:r>
      <w:r>
        <w:tab/>
      </w:r>
      <w:hyperlink r:id="rId16" w:anchor="page=152" w:tgtFrame="_blank" w:history="1">
        <w:r w:rsidR="003E6B5B" w:rsidRPr="000E2A3B">
          <w:rPr>
            <w:rStyle w:val="Hyperlink"/>
            <w:rFonts w:eastAsia="Verdana" w:cs="Verdana"/>
            <w:lang w:eastAsia="zh-TW"/>
          </w:rPr>
          <w:t>Resolution</w:t>
        </w:r>
        <w:r w:rsidR="003E6B5B" w:rsidRPr="000E2A3B">
          <w:rPr>
            <w:rStyle w:val="Hyperlink"/>
            <w:rFonts w:eastAsia="Verdana" w:cs="Verdana"/>
            <w:lang w:eastAsia="zh-TW"/>
          </w:rPr>
          <w:t> </w:t>
        </w:r>
        <w:r w:rsidR="003E6B5B" w:rsidRPr="000E2A3B">
          <w:rPr>
            <w:rStyle w:val="Hyperlink"/>
            <w:rFonts w:eastAsia="Verdana" w:cs="Verdana"/>
            <w:lang w:eastAsia="zh-TW"/>
          </w:rPr>
          <w:t>10 (INFCOM-1)</w:t>
        </w:r>
      </w:hyperlink>
      <w:r w:rsidR="003E6B5B" w:rsidRPr="00CB68AD">
        <w:rPr>
          <w:rStyle w:val="Hyperlink"/>
          <w:rFonts w:eastAsia="Verdana" w:cs="Verdana"/>
          <w:lang w:eastAsia="zh-TW"/>
        </w:rPr>
        <w:t xml:space="preserve"> </w:t>
      </w:r>
      <w:r w:rsidR="003E6B5B" w:rsidRPr="00B04085">
        <w:rPr>
          <w:rStyle w:val="Hyperlink"/>
          <w:rFonts w:eastAsia="Verdana" w:cs="Verdana"/>
          <w:color w:val="auto"/>
          <w:lang w:eastAsia="zh-TW"/>
        </w:rPr>
        <w:t>- Terms of reference for Measurement Lead Centres;</w:t>
      </w:r>
    </w:p>
    <w:p w14:paraId="1D541BED" w14:textId="77777777" w:rsidR="003E6B5B" w:rsidRPr="00C41C20" w:rsidRDefault="003E6B5B" w:rsidP="003E6B5B">
      <w:pPr>
        <w:spacing w:before="240"/>
        <w:ind w:left="1134" w:hanging="567"/>
        <w:jc w:val="left"/>
        <w:rPr>
          <w:rStyle w:val="eop"/>
          <w:rFonts w:cs="Verdana"/>
        </w:rPr>
      </w:pPr>
      <w:r>
        <w:t>(c)</w:t>
      </w:r>
      <w:r>
        <w:tab/>
      </w:r>
      <w:hyperlink r:id="rId17" w:anchor="page=154" w:tgtFrame="_blank" w:history="1">
        <w:r w:rsidRPr="006E4E73">
          <w:rPr>
            <w:rStyle w:val="Hyperlink"/>
            <w:rFonts w:eastAsia="Verdana" w:cs="Verdana"/>
          </w:rPr>
          <w:t>Resoluti</w:t>
        </w:r>
        <w:r w:rsidRPr="006E4E73">
          <w:rPr>
            <w:rStyle w:val="Hyperlink"/>
            <w:rFonts w:eastAsia="Verdana" w:cs="Verdana"/>
          </w:rPr>
          <w:t>o</w:t>
        </w:r>
        <w:r w:rsidRPr="006E4E73">
          <w:rPr>
            <w:rStyle w:val="Hyperlink"/>
            <w:rFonts w:eastAsia="Verdana" w:cs="Verdana"/>
          </w:rPr>
          <w:t>n</w:t>
        </w:r>
        <w:r>
          <w:rPr>
            <w:rStyle w:val="Hyperlink"/>
            <w:rFonts w:eastAsia="Verdana" w:cs="Verdana"/>
          </w:rPr>
          <w:t> 1</w:t>
        </w:r>
        <w:r w:rsidRPr="006E4E73">
          <w:rPr>
            <w:rStyle w:val="Hyperlink"/>
            <w:rFonts w:eastAsia="Verdana" w:cs="Verdana"/>
          </w:rPr>
          <w:t>1 (INFCOM-1)</w:t>
        </w:r>
      </w:hyperlink>
      <w:r>
        <w:rPr>
          <w:rStyle w:val="normaltextrun"/>
          <w:shd w:val="clear" w:color="auto" w:fill="FFFFFF"/>
        </w:rPr>
        <w:t xml:space="preserve"> </w:t>
      </w:r>
      <w:r>
        <w:rPr>
          <w:rStyle w:val="normaltextrun"/>
          <w:color w:val="000000"/>
          <w:shd w:val="clear" w:color="auto" w:fill="FFFFFF"/>
        </w:rPr>
        <w:t>- Designation and performance-monitoring process for Measurement Lead Centres;</w:t>
      </w:r>
    </w:p>
    <w:p w14:paraId="3EC02153" w14:textId="77777777" w:rsidR="003E6B5B" w:rsidRDefault="003E6B5B" w:rsidP="003E6B5B">
      <w:pPr>
        <w:spacing w:before="240"/>
        <w:ind w:left="1134" w:hanging="567"/>
        <w:jc w:val="left"/>
        <w:rPr>
          <w:rStyle w:val="normaltextrun"/>
          <w:color w:val="000000"/>
          <w:shd w:val="clear" w:color="auto" w:fill="FFFFFF"/>
        </w:rPr>
      </w:pPr>
      <w:r>
        <w:t>(d)</w:t>
      </w:r>
      <w:r>
        <w:tab/>
      </w:r>
      <w:hyperlink r:id="rId18" w:anchor="page=157" w:tgtFrame="_blank" w:history="1">
        <w:r w:rsidRPr="006E4E73">
          <w:rPr>
            <w:rStyle w:val="Hyperlink"/>
            <w:rFonts w:eastAsia="Verdana" w:cs="Verdana"/>
          </w:rPr>
          <w:t>Resolution</w:t>
        </w:r>
        <w:r>
          <w:rPr>
            <w:rStyle w:val="Hyperlink"/>
            <w:rFonts w:eastAsia="Verdana" w:cs="Verdana"/>
          </w:rPr>
          <w:t> </w:t>
        </w:r>
        <w:r>
          <w:rPr>
            <w:rStyle w:val="Hyperlink"/>
            <w:rFonts w:eastAsia="Verdana" w:cs="Verdana"/>
          </w:rPr>
          <w:t>1</w:t>
        </w:r>
        <w:r w:rsidRPr="006E4E73">
          <w:rPr>
            <w:rStyle w:val="Hyperlink"/>
            <w:rFonts w:eastAsia="Verdana" w:cs="Verdana"/>
          </w:rPr>
          <w:t>2 (INFCOM-1)</w:t>
        </w:r>
      </w:hyperlink>
      <w:r>
        <w:rPr>
          <w:rStyle w:val="normaltextrun"/>
          <w:shd w:val="clear" w:color="auto" w:fill="FFFFFF"/>
        </w:rPr>
        <w:t xml:space="preserve"> </w:t>
      </w:r>
      <w:r>
        <w:rPr>
          <w:rStyle w:val="normaltextrun"/>
          <w:color w:val="000000"/>
          <w:shd w:val="clear" w:color="auto" w:fill="FFFFFF"/>
        </w:rPr>
        <w:t>- Concept of the Global Data-processing and Forecasting System centres for hydrological services;</w:t>
      </w:r>
    </w:p>
    <w:p w14:paraId="6BCB38E7" w14:textId="77777777" w:rsidR="008441DE" w:rsidRDefault="008441DE" w:rsidP="00911A04">
      <w:pPr>
        <w:pStyle w:val="WMOBodyText"/>
        <w:keepNext/>
        <w:keepLines/>
        <w:ind w:left="567"/>
        <w:rPr>
          <w:color w:val="000000"/>
        </w:rPr>
      </w:pPr>
      <w:r w:rsidRPr="00911A04">
        <w:rPr>
          <w:color w:val="000000"/>
        </w:rPr>
        <w:t>INFCOM-2 (2022):</w:t>
      </w:r>
    </w:p>
    <w:p w14:paraId="6E52E842" w14:textId="77777777" w:rsidR="006D0A56" w:rsidRDefault="006D0A56" w:rsidP="00B04085">
      <w:pPr>
        <w:spacing w:before="240"/>
        <w:ind w:left="1134" w:hanging="567"/>
        <w:jc w:val="left"/>
        <w:rPr>
          <w:rStyle w:val="eop"/>
          <w:color w:val="000000"/>
          <w:shd w:val="clear" w:color="auto" w:fill="FFFFFF"/>
        </w:rPr>
      </w:pPr>
      <w:r>
        <w:rPr>
          <w:color w:val="000000"/>
        </w:rPr>
        <w:t>(a)</w:t>
      </w:r>
      <w:r>
        <w:rPr>
          <w:color w:val="000000"/>
        </w:rPr>
        <w:tab/>
      </w:r>
      <w:hyperlink r:id="rId19" w:tgtFrame="_blank" w:history="1">
        <w:r w:rsidR="00D27CEA" w:rsidRPr="00B04085">
          <w:rPr>
            <w:rStyle w:val="Hyperlink"/>
          </w:rPr>
          <w:t>Resolution</w:t>
        </w:r>
        <w:r w:rsidR="00D27CEA" w:rsidRPr="00B04085">
          <w:rPr>
            <w:rStyle w:val="Hyperlink"/>
          </w:rPr>
          <w:t xml:space="preserve"> </w:t>
        </w:r>
        <w:r w:rsidR="00D27CEA" w:rsidRPr="00B04085">
          <w:rPr>
            <w:rStyle w:val="Hyperlink"/>
          </w:rPr>
          <w:t>4 (INFCOM-2)</w:t>
        </w:r>
      </w:hyperlink>
      <w:r w:rsidR="00D27CEA">
        <w:rPr>
          <w:rStyle w:val="normaltextrun"/>
          <w:shd w:val="clear" w:color="auto" w:fill="FFFFFF"/>
        </w:rPr>
        <w:t xml:space="preserve"> </w:t>
      </w:r>
      <w:r w:rsidR="00D27CEA">
        <w:rPr>
          <w:rStyle w:val="normaltextrun"/>
          <w:color w:val="000000"/>
          <w:shd w:val="clear" w:color="auto" w:fill="FFFFFF"/>
        </w:rPr>
        <w:t>– Closing the gap on the integration of the cryosphere in the Earth system approach of WMO</w:t>
      </w:r>
      <w:r w:rsidR="00145EB9">
        <w:rPr>
          <w:rStyle w:val="eop"/>
          <w:color w:val="000000"/>
          <w:shd w:val="clear" w:color="auto" w:fill="FFFFFF"/>
        </w:rPr>
        <w:t>;</w:t>
      </w:r>
    </w:p>
    <w:p w14:paraId="7DA50D01" w14:textId="63DBA3F9" w:rsidR="003E6B5B" w:rsidRDefault="003E6B5B" w:rsidP="003E6B5B">
      <w:pPr>
        <w:pStyle w:val="WMOIndent1"/>
      </w:pPr>
      <w:r w:rsidRPr="00924024">
        <w:t>(2)</w:t>
      </w:r>
      <w:r>
        <w:tab/>
      </w:r>
      <w:r w:rsidRPr="00924024">
        <w:t>Not to keep in force the other resolutions adopted before the present session;</w:t>
      </w:r>
    </w:p>
    <w:p w14:paraId="3FF0E842" w14:textId="77777777" w:rsidR="003E6B5B" w:rsidRDefault="003E6B5B" w:rsidP="003E6B5B">
      <w:pPr>
        <w:pStyle w:val="WMOIndent1"/>
      </w:pPr>
      <w:r w:rsidRPr="00924024">
        <w:rPr>
          <w:b/>
          <w:bCs/>
        </w:rPr>
        <w:t>Also decides</w:t>
      </w:r>
      <w:r>
        <w:t>:</w:t>
      </w:r>
    </w:p>
    <w:p w14:paraId="180B006C" w14:textId="77777777" w:rsidR="003E6B5B" w:rsidRDefault="003E6B5B" w:rsidP="003E6B5B">
      <w:pPr>
        <w:pStyle w:val="WMOIndent1"/>
      </w:pPr>
      <w:r w:rsidRPr="00B24FC9">
        <w:t>(</w:t>
      </w:r>
      <w:r>
        <w:t>1</w:t>
      </w:r>
      <w:r w:rsidRPr="00B24FC9">
        <w:t>)</w:t>
      </w:r>
      <w:r w:rsidRPr="00B24FC9">
        <w:tab/>
      </w:r>
      <w:r>
        <w:t>To keep in force the following decision:</w:t>
      </w:r>
    </w:p>
    <w:p w14:paraId="791BFDE8" w14:textId="77777777" w:rsidR="003E6B5B" w:rsidRPr="00911A04" w:rsidRDefault="003E6B5B" w:rsidP="004D04EA">
      <w:pPr>
        <w:pStyle w:val="WMOBodyText"/>
        <w:keepNext/>
        <w:keepLines/>
        <w:ind w:firstLine="567"/>
        <w:rPr>
          <w:color w:val="000000"/>
        </w:rPr>
      </w:pPr>
      <w:r w:rsidRPr="00911A04">
        <w:rPr>
          <w:color w:val="000000"/>
        </w:rPr>
        <w:t>INFCOM-1 (2020–2021):</w:t>
      </w:r>
    </w:p>
    <w:p w14:paraId="41E8A2D8" w14:textId="77777777" w:rsidR="003E6B5B" w:rsidRPr="00005291" w:rsidRDefault="003E6B5B" w:rsidP="00005291">
      <w:pPr>
        <w:spacing w:before="240"/>
        <w:ind w:left="1134" w:hanging="567"/>
        <w:jc w:val="left"/>
        <w:rPr>
          <w:rStyle w:val="normaltextrun"/>
          <w:color w:val="000000"/>
          <w:shd w:val="clear" w:color="auto" w:fill="FFFFFF"/>
        </w:rPr>
      </w:pPr>
      <w:r w:rsidRPr="00E8597B">
        <w:rPr>
          <w:rStyle w:val="normaltextrun"/>
          <w:rFonts w:cs="Times New Roman"/>
        </w:rPr>
        <w:t>(a)</w:t>
      </w:r>
      <w:r w:rsidRPr="00E8597B">
        <w:rPr>
          <w:rStyle w:val="normaltextrun"/>
          <w:rFonts w:cs="Times New Roman"/>
        </w:rPr>
        <w:tab/>
      </w:r>
      <w:hyperlink r:id="rId20" w:anchor="page=176" w:tgtFrame="_blank" w:history="1">
        <w:r w:rsidRPr="00E8597B">
          <w:rPr>
            <w:rStyle w:val="Hyperlink"/>
            <w:rFonts w:eastAsia="Verdana" w:cs="Verdana"/>
          </w:rPr>
          <w:t>Decision</w:t>
        </w:r>
        <w:r w:rsidRPr="00E8597B">
          <w:rPr>
            <w:rStyle w:val="Hyperlink"/>
            <w:rFonts w:eastAsia="Verdana" w:cs="Verdana"/>
          </w:rPr>
          <w:t> </w:t>
        </w:r>
        <w:r w:rsidRPr="00E8597B">
          <w:rPr>
            <w:rStyle w:val="Hyperlink"/>
            <w:rFonts w:eastAsia="Verdana" w:cs="Verdana"/>
          </w:rPr>
          <w:t>5 (INFCOM-1)</w:t>
        </w:r>
      </w:hyperlink>
      <w:r w:rsidRPr="00E8597B">
        <w:rPr>
          <w:rStyle w:val="normaltextrun"/>
          <w:shd w:val="clear" w:color="auto" w:fill="FFFFFF"/>
        </w:rPr>
        <w:t xml:space="preserve"> </w:t>
      </w:r>
      <w:r w:rsidRPr="00E8597B">
        <w:rPr>
          <w:rStyle w:val="normaltextrun"/>
          <w:color w:val="000000"/>
          <w:shd w:val="clear" w:color="auto" w:fill="FFFFFF"/>
        </w:rPr>
        <w:t>- Development of a draft implementation plan for the Global Climate Observing System Surface Reference Network;</w:t>
      </w:r>
    </w:p>
    <w:p w14:paraId="14BC1229" w14:textId="77777777" w:rsidR="003E6B5B" w:rsidRPr="00B1726E" w:rsidRDefault="003E6B5B" w:rsidP="003E6B5B">
      <w:pPr>
        <w:spacing w:before="240"/>
        <w:ind w:left="1134" w:hanging="567"/>
        <w:jc w:val="left"/>
        <w:rPr>
          <w:rStyle w:val="normaltextrun"/>
        </w:rPr>
      </w:pPr>
      <w:r w:rsidRPr="00E17677">
        <w:rPr>
          <w:rStyle w:val="normaltextrun"/>
          <w:rFonts w:cs="Times New Roman"/>
        </w:rPr>
        <w:t>(b)</w:t>
      </w:r>
      <w:r w:rsidRPr="00E17677">
        <w:rPr>
          <w:rStyle w:val="normaltextrun"/>
          <w:rFonts w:cs="Times New Roman"/>
        </w:rPr>
        <w:tab/>
      </w:r>
      <w:hyperlink r:id="rId21" w:anchor="page=207" w:tgtFrame="_blank" w:history="1">
        <w:r w:rsidRPr="000E2A3B">
          <w:rPr>
            <w:rStyle w:val="Hyperlink"/>
            <w:rFonts w:eastAsia="Verdana" w:cs="Verdana"/>
          </w:rPr>
          <w:t>Decisio</w:t>
        </w:r>
        <w:r w:rsidRPr="000E2A3B">
          <w:rPr>
            <w:rStyle w:val="Hyperlink"/>
            <w:rFonts w:eastAsia="Verdana" w:cs="Verdana"/>
          </w:rPr>
          <w:t>n</w:t>
        </w:r>
        <w:r w:rsidRPr="000E2A3B">
          <w:rPr>
            <w:rStyle w:val="Hyperlink"/>
            <w:rFonts w:eastAsia="Verdana" w:cs="Verdana"/>
          </w:rPr>
          <w:t> 11 (INFCOM-1)</w:t>
        </w:r>
      </w:hyperlink>
      <w:r w:rsidRPr="000E2A3B">
        <w:rPr>
          <w:rStyle w:val="normaltextrun"/>
          <w:shd w:val="clear" w:color="auto" w:fill="FFFFFF"/>
        </w:rPr>
        <w:t xml:space="preserve"> </w:t>
      </w:r>
      <w:r w:rsidRPr="000E2A3B">
        <w:rPr>
          <w:rStyle w:val="normaltextrun"/>
          <w:color w:val="000000"/>
          <w:shd w:val="clear" w:color="auto" w:fill="FFFFFF"/>
        </w:rPr>
        <w:t>- Coordination of the Infrastructure Commission with other bodies;</w:t>
      </w:r>
    </w:p>
    <w:p w14:paraId="0E1172A2" w14:textId="77777777" w:rsidR="003E6B5B" w:rsidRPr="00B1726E" w:rsidRDefault="003E6B5B" w:rsidP="003E6B5B">
      <w:pPr>
        <w:spacing w:before="240"/>
        <w:ind w:left="1134" w:hanging="567"/>
        <w:jc w:val="left"/>
        <w:rPr>
          <w:rStyle w:val="eop"/>
        </w:rPr>
      </w:pPr>
      <w:r w:rsidRPr="00B1726E">
        <w:rPr>
          <w:rStyle w:val="eop"/>
          <w:rFonts w:cs="Times New Roman"/>
        </w:rPr>
        <w:t>(</w:t>
      </w:r>
      <w:r w:rsidR="00CA6600">
        <w:rPr>
          <w:rStyle w:val="eop"/>
          <w:rFonts w:cs="Times New Roman"/>
        </w:rPr>
        <w:t>c</w:t>
      </w:r>
      <w:r w:rsidRPr="00B1726E">
        <w:rPr>
          <w:rStyle w:val="eop"/>
          <w:rFonts w:cs="Times New Roman"/>
        </w:rPr>
        <w:t>)</w:t>
      </w:r>
      <w:r w:rsidRPr="00B1726E">
        <w:rPr>
          <w:rStyle w:val="eop"/>
          <w:rFonts w:cs="Times New Roman"/>
        </w:rPr>
        <w:tab/>
      </w:r>
      <w:hyperlink r:id="rId22" w:anchor="page=250" w:tgtFrame="_blank" w:history="1">
        <w:r w:rsidRPr="000E2A3B">
          <w:rPr>
            <w:rStyle w:val="Hyperlink"/>
            <w:rFonts w:eastAsia="Verdana" w:cs="Verdana"/>
          </w:rPr>
          <w:t>Decisi</w:t>
        </w:r>
        <w:r w:rsidRPr="000E2A3B">
          <w:rPr>
            <w:rStyle w:val="Hyperlink"/>
            <w:rFonts w:eastAsia="Verdana" w:cs="Verdana"/>
          </w:rPr>
          <w:t>o</w:t>
        </w:r>
        <w:r w:rsidRPr="000E2A3B">
          <w:rPr>
            <w:rStyle w:val="Hyperlink"/>
            <w:rFonts w:eastAsia="Verdana" w:cs="Verdana"/>
          </w:rPr>
          <w:t>n 19 (INFCOM-1)</w:t>
        </w:r>
      </w:hyperlink>
      <w:r w:rsidRPr="000E2A3B">
        <w:rPr>
          <w:rStyle w:val="normaltextrun"/>
          <w:shd w:val="clear" w:color="auto" w:fill="FFFFFF"/>
        </w:rPr>
        <w:t xml:space="preserve"> </w:t>
      </w:r>
      <w:r w:rsidRPr="000E2A3B">
        <w:rPr>
          <w:rStyle w:val="normaltextrun"/>
          <w:color w:val="000000"/>
          <w:shd w:val="clear" w:color="auto" w:fill="FFFFFF"/>
        </w:rPr>
        <w:t>- Designation of a WMO testbed for ground-based integrated meteorological observation in Changsha (China);</w:t>
      </w:r>
    </w:p>
    <w:p w14:paraId="4E676C1F" w14:textId="77777777" w:rsidR="003E6B5B" w:rsidRDefault="003E6B5B" w:rsidP="003E6B5B">
      <w:pPr>
        <w:spacing w:before="240"/>
        <w:ind w:left="1134" w:hanging="567"/>
        <w:jc w:val="left"/>
        <w:rPr>
          <w:rStyle w:val="normaltextrun"/>
          <w:color w:val="000000"/>
          <w:shd w:val="clear" w:color="auto" w:fill="FFFFFF"/>
        </w:rPr>
      </w:pPr>
      <w:r w:rsidRPr="00B1726E">
        <w:rPr>
          <w:rFonts w:cs="Times New Roman"/>
        </w:rPr>
        <w:t>(</w:t>
      </w:r>
      <w:r w:rsidR="00CA6600">
        <w:rPr>
          <w:rFonts w:cs="Times New Roman"/>
        </w:rPr>
        <w:t>d</w:t>
      </w:r>
      <w:r w:rsidRPr="00B1726E">
        <w:rPr>
          <w:rFonts w:cs="Times New Roman"/>
        </w:rPr>
        <w:t>)</w:t>
      </w:r>
      <w:r w:rsidRPr="00B1726E">
        <w:rPr>
          <w:rFonts w:cs="Times New Roman"/>
        </w:rPr>
        <w:tab/>
      </w:r>
      <w:hyperlink r:id="rId23" w:anchor="page=250" w:tgtFrame="_blank" w:history="1">
        <w:r w:rsidRPr="000E2A3B">
          <w:rPr>
            <w:rStyle w:val="Hyperlink"/>
            <w:rFonts w:eastAsia="Verdana" w:cs="Verdana"/>
          </w:rPr>
          <w:t>Decision </w:t>
        </w:r>
        <w:r w:rsidRPr="000E2A3B">
          <w:rPr>
            <w:rStyle w:val="Hyperlink"/>
            <w:rFonts w:eastAsia="Verdana" w:cs="Verdana"/>
          </w:rPr>
          <w:t>2</w:t>
        </w:r>
        <w:r w:rsidRPr="000E2A3B">
          <w:rPr>
            <w:rStyle w:val="Hyperlink"/>
            <w:rFonts w:eastAsia="Verdana" w:cs="Verdana"/>
          </w:rPr>
          <w:t>0 (INFCOM-1)</w:t>
        </w:r>
      </w:hyperlink>
      <w:r w:rsidRPr="000E2A3B">
        <w:rPr>
          <w:rStyle w:val="normaltextrun"/>
          <w:shd w:val="clear" w:color="auto" w:fill="FFFFFF"/>
        </w:rPr>
        <w:t xml:space="preserve"> </w:t>
      </w:r>
      <w:r w:rsidRPr="000E2A3B">
        <w:rPr>
          <w:rStyle w:val="normaltextrun"/>
          <w:color w:val="000000"/>
          <w:shd w:val="clear" w:color="auto" w:fill="FFFFFF"/>
        </w:rPr>
        <w:t xml:space="preserve">- Designation of the Marine Meteorological Science Experiment Base in </w:t>
      </w:r>
      <w:proofErr w:type="spellStart"/>
      <w:r w:rsidRPr="000E2A3B">
        <w:rPr>
          <w:rStyle w:val="normaltextrun"/>
          <w:color w:val="000000"/>
          <w:shd w:val="clear" w:color="auto" w:fill="FFFFFF"/>
        </w:rPr>
        <w:t>Bohe</w:t>
      </w:r>
      <w:proofErr w:type="spellEnd"/>
      <w:r w:rsidRPr="000E2A3B">
        <w:rPr>
          <w:rStyle w:val="normaltextrun"/>
          <w:color w:val="000000"/>
          <w:shd w:val="clear" w:color="auto" w:fill="FFFFFF"/>
        </w:rPr>
        <w:t>, China as a WMO Lead Centre;</w:t>
      </w:r>
    </w:p>
    <w:p w14:paraId="70ABAEBC" w14:textId="77777777" w:rsidR="008441DE" w:rsidRDefault="008441DE" w:rsidP="00911A04">
      <w:pPr>
        <w:pStyle w:val="WMOBodyText"/>
        <w:keepNext/>
        <w:keepLines/>
        <w:ind w:left="567"/>
        <w:rPr>
          <w:color w:val="000000"/>
        </w:rPr>
      </w:pPr>
      <w:r w:rsidRPr="00911A04">
        <w:rPr>
          <w:color w:val="000000"/>
        </w:rPr>
        <w:lastRenderedPageBreak/>
        <w:t>INFCOM-2 (2022):</w:t>
      </w:r>
    </w:p>
    <w:p w14:paraId="055B5B76" w14:textId="77777777" w:rsidR="006F72FD" w:rsidRDefault="006F72FD" w:rsidP="00911A04">
      <w:pPr>
        <w:pStyle w:val="WMOBodyText"/>
        <w:keepNext/>
        <w:keepLines/>
        <w:ind w:left="567"/>
        <w:rPr>
          <w:rStyle w:val="eop"/>
          <w:color w:val="000000"/>
          <w:shd w:val="clear" w:color="auto" w:fill="FFFFFF"/>
        </w:rPr>
      </w:pPr>
      <w:r>
        <w:rPr>
          <w:color w:val="000000"/>
        </w:rPr>
        <w:t>(a)</w:t>
      </w:r>
      <w:r>
        <w:rPr>
          <w:color w:val="000000"/>
        </w:rPr>
        <w:tab/>
      </w:r>
      <w:hyperlink r:id="rId24" w:tgtFrame="_blank" w:history="1">
        <w:r w:rsidR="00E033FA" w:rsidRPr="00EE4E55">
          <w:rPr>
            <w:rStyle w:val="Hyperlink"/>
          </w:rPr>
          <w:t>Deci</w:t>
        </w:r>
        <w:r w:rsidR="00E033FA" w:rsidRPr="00EE4E55">
          <w:rPr>
            <w:rStyle w:val="Hyperlink"/>
          </w:rPr>
          <w:t>s</w:t>
        </w:r>
        <w:r w:rsidR="00E033FA" w:rsidRPr="00EE4E55">
          <w:rPr>
            <w:rStyle w:val="Hyperlink"/>
          </w:rPr>
          <w:t>ion 5 (INFCOM-2)</w:t>
        </w:r>
      </w:hyperlink>
      <w:r w:rsidR="00E033FA" w:rsidRPr="00EE4E55">
        <w:t xml:space="preserve"> – INFCOM strategic approach</w:t>
      </w:r>
      <w:r w:rsidR="00145EB9">
        <w:rPr>
          <w:rStyle w:val="eop"/>
          <w:color w:val="000000"/>
          <w:shd w:val="clear" w:color="auto" w:fill="FFFFFF"/>
        </w:rPr>
        <w:t>;</w:t>
      </w:r>
    </w:p>
    <w:p w14:paraId="1CD06668" w14:textId="77777777" w:rsidR="00B146AA" w:rsidRPr="00B146AA" w:rsidRDefault="00B146AA" w:rsidP="00B146AA">
      <w:pPr>
        <w:spacing w:before="240"/>
        <w:ind w:left="1134" w:hanging="567"/>
        <w:jc w:val="left"/>
      </w:pPr>
      <w:r>
        <w:t>(b)</w:t>
      </w:r>
      <w:r>
        <w:tab/>
      </w:r>
      <w:hyperlink r:id="rId25" w:tgtFrame="_blank" w:history="1">
        <w:r w:rsidRPr="00B146AA">
          <w:rPr>
            <w:rStyle w:val="Hyperlink"/>
          </w:rPr>
          <w:t>Decisio</w:t>
        </w:r>
        <w:r w:rsidRPr="00B146AA">
          <w:rPr>
            <w:rStyle w:val="Hyperlink"/>
          </w:rPr>
          <w:t>n</w:t>
        </w:r>
        <w:r w:rsidRPr="00B146AA">
          <w:rPr>
            <w:rStyle w:val="Hyperlink"/>
          </w:rPr>
          <w:t xml:space="preserve"> 7 (INFCOM-2)</w:t>
        </w:r>
      </w:hyperlink>
      <w:r w:rsidRPr="00B146AA">
        <w:t xml:space="preserve"> – Recognition of the concept for tiered networks</w:t>
      </w:r>
      <w:r w:rsidR="00145EB9">
        <w:t>;</w:t>
      </w:r>
    </w:p>
    <w:p w14:paraId="01F56187" w14:textId="77777777" w:rsidR="0093215A" w:rsidRPr="00B146AA" w:rsidRDefault="008756FA" w:rsidP="008756FA">
      <w:pPr>
        <w:spacing w:before="240"/>
        <w:ind w:left="1134" w:hanging="567"/>
        <w:jc w:val="left"/>
      </w:pPr>
      <w:r>
        <w:t>(c)</w:t>
      </w:r>
      <w:r>
        <w:tab/>
      </w:r>
      <w:hyperlink r:id="rId26" w:tgtFrame="_blank" w:history="1">
        <w:r w:rsidR="00B146AA" w:rsidRPr="00B146AA">
          <w:rPr>
            <w:rStyle w:val="Hyperlink"/>
          </w:rPr>
          <w:t>Decisi</w:t>
        </w:r>
        <w:r w:rsidR="00B146AA" w:rsidRPr="00B146AA">
          <w:rPr>
            <w:rStyle w:val="Hyperlink"/>
          </w:rPr>
          <w:t>o</w:t>
        </w:r>
        <w:r w:rsidR="00B146AA" w:rsidRPr="00B146AA">
          <w:rPr>
            <w:rStyle w:val="Hyperlink"/>
          </w:rPr>
          <w:t>n 8 (INFCOM-2)</w:t>
        </w:r>
      </w:hyperlink>
      <w:r w:rsidR="00B146AA" w:rsidRPr="00B146AA">
        <w:t xml:space="preserve"> – Guidelines for Conducting and Reporting on the Verification and Calibration of Discharge Measurement Instruments</w:t>
      </w:r>
      <w:r w:rsidR="00145EB9">
        <w:t>;</w:t>
      </w:r>
    </w:p>
    <w:p w14:paraId="3DAB1EEE" w14:textId="77777777" w:rsidR="0093215A" w:rsidRPr="00B146AA" w:rsidRDefault="008756FA" w:rsidP="00B146AA">
      <w:pPr>
        <w:spacing w:before="240"/>
        <w:ind w:left="1134" w:hanging="567"/>
        <w:jc w:val="left"/>
      </w:pPr>
      <w:r>
        <w:t>(d)</w:t>
      </w:r>
      <w:r>
        <w:tab/>
      </w:r>
      <w:hyperlink r:id="rId27" w:tgtFrame="_blank" w:history="1">
        <w:r w:rsidR="0093215A" w:rsidRPr="00B146AA">
          <w:rPr>
            <w:rStyle w:val="Hyperlink"/>
          </w:rPr>
          <w:t>Decisi</w:t>
        </w:r>
        <w:r w:rsidR="0093215A" w:rsidRPr="00B146AA">
          <w:rPr>
            <w:rStyle w:val="Hyperlink"/>
          </w:rPr>
          <w:t>o</w:t>
        </w:r>
        <w:r w:rsidR="0093215A" w:rsidRPr="00B146AA">
          <w:rPr>
            <w:rStyle w:val="Hyperlink"/>
          </w:rPr>
          <w:t>n 9 (INFCOM-2)</w:t>
        </w:r>
      </w:hyperlink>
      <w:r w:rsidR="0093215A" w:rsidRPr="00B146AA">
        <w:t xml:space="preserve"> – Designation of a WMO Measurement Lead Centre on Snow Monitoring – Snow Monitoring Competence Centre in Davos (Switzerland)</w:t>
      </w:r>
      <w:r w:rsidR="00145EB9">
        <w:t>;</w:t>
      </w:r>
    </w:p>
    <w:p w14:paraId="68CE74B7" w14:textId="77777777" w:rsidR="00F44D3A" w:rsidRPr="00B146AA" w:rsidRDefault="008756FA" w:rsidP="00B146AA">
      <w:pPr>
        <w:spacing w:before="240"/>
        <w:ind w:left="1134" w:hanging="567"/>
        <w:jc w:val="left"/>
      </w:pPr>
      <w:r>
        <w:t>(e)</w:t>
      </w:r>
      <w:r>
        <w:tab/>
      </w:r>
      <w:hyperlink r:id="rId28" w:tgtFrame="_blank" w:history="1">
        <w:r w:rsidR="0093215A" w:rsidRPr="00B146AA">
          <w:rPr>
            <w:rStyle w:val="Hyperlink"/>
          </w:rPr>
          <w:t>Decision</w:t>
        </w:r>
        <w:r w:rsidR="0093215A" w:rsidRPr="00B146AA">
          <w:rPr>
            <w:rStyle w:val="Hyperlink"/>
          </w:rPr>
          <w:t xml:space="preserve"> </w:t>
        </w:r>
        <w:r w:rsidR="0093215A" w:rsidRPr="00B146AA">
          <w:rPr>
            <w:rStyle w:val="Hyperlink"/>
          </w:rPr>
          <w:t>10 (INFCOM-2)</w:t>
        </w:r>
      </w:hyperlink>
      <w:r w:rsidR="0093215A" w:rsidRPr="00B146AA">
        <w:t xml:space="preserve"> – Recommendations of the Study Group on Ocean Observations and Infrastructure Systems</w:t>
      </w:r>
      <w:r w:rsidR="00145EB9">
        <w:t>;</w:t>
      </w:r>
    </w:p>
    <w:p w14:paraId="536082AC" w14:textId="77777777" w:rsidR="00F44D3A" w:rsidRPr="00B146AA" w:rsidRDefault="008756FA" w:rsidP="00B146AA">
      <w:pPr>
        <w:spacing w:before="240"/>
        <w:ind w:left="1134" w:hanging="567"/>
        <w:jc w:val="left"/>
      </w:pPr>
      <w:r>
        <w:t>(f)</w:t>
      </w:r>
      <w:r>
        <w:tab/>
      </w:r>
      <w:hyperlink r:id="rId29" w:tgtFrame="_blank" w:history="1">
        <w:r w:rsidR="00F44D3A" w:rsidRPr="00B146AA">
          <w:rPr>
            <w:rStyle w:val="Hyperlink"/>
          </w:rPr>
          <w:t>Deci</w:t>
        </w:r>
        <w:r w:rsidR="00F44D3A" w:rsidRPr="00B146AA">
          <w:rPr>
            <w:rStyle w:val="Hyperlink"/>
          </w:rPr>
          <w:t>s</w:t>
        </w:r>
        <w:r w:rsidR="00F44D3A" w:rsidRPr="00B146AA">
          <w:rPr>
            <w:rStyle w:val="Hyperlink"/>
          </w:rPr>
          <w:t>ion 16 (INFCOM-2)</w:t>
        </w:r>
      </w:hyperlink>
      <w:r w:rsidR="00F44D3A" w:rsidRPr="00B146AA">
        <w:t xml:space="preserve"> – Technical document series publication process</w:t>
      </w:r>
      <w:r w:rsidR="00145EB9">
        <w:t>;</w:t>
      </w:r>
    </w:p>
    <w:p w14:paraId="3881D36E" w14:textId="77777777" w:rsidR="00F44D3A" w:rsidRPr="00BE24A7" w:rsidRDefault="00E033FA" w:rsidP="00BE24A7">
      <w:pPr>
        <w:spacing w:before="240"/>
        <w:ind w:left="1134" w:hanging="567"/>
        <w:jc w:val="left"/>
      </w:pPr>
      <w:r w:rsidRPr="00B146AA">
        <w:t>(</w:t>
      </w:r>
      <w:r w:rsidR="008756FA">
        <w:t>g</w:t>
      </w:r>
      <w:r w:rsidRPr="00B146AA">
        <w:t>)</w:t>
      </w:r>
      <w:r w:rsidRPr="00B146AA">
        <w:tab/>
      </w:r>
      <w:hyperlink r:id="rId30" w:tgtFrame="_blank" w:history="1">
        <w:r w:rsidR="00F44D3A" w:rsidRPr="00B146AA">
          <w:rPr>
            <w:rStyle w:val="Hyperlink"/>
          </w:rPr>
          <w:t>Decision</w:t>
        </w:r>
        <w:r w:rsidR="00F44D3A" w:rsidRPr="00B146AA">
          <w:rPr>
            <w:rStyle w:val="Hyperlink"/>
          </w:rPr>
          <w:t xml:space="preserve"> </w:t>
        </w:r>
        <w:r w:rsidR="00F44D3A" w:rsidRPr="00B146AA">
          <w:rPr>
            <w:rStyle w:val="Hyperlink"/>
          </w:rPr>
          <w:t>17 (INFCOM-2)</w:t>
        </w:r>
      </w:hyperlink>
      <w:r w:rsidR="00F44D3A" w:rsidRPr="00B146AA">
        <w:t xml:space="preserve"> – Towards improved uncertainty evaluations and harmonization of the uncertainty terminology across key INFCOM-related WMO publications</w:t>
      </w:r>
      <w:r w:rsidR="00145EB9">
        <w:t>;</w:t>
      </w:r>
    </w:p>
    <w:p w14:paraId="6798FFB8" w14:textId="77777777" w:rsidR="003E6B5B" w:rsidRDefault="003E6B5B" w:rsidP="003E6B5B">
      <w:pPr>
        <w:pStyle w:val="WMOIndent1"/>
      </w:pPr>
      <w:r w:rsidRPr="00924024">
        <w:t>(2)</w:t>
      </w:r>
      <w:r>
        <w:tab/>
      </w:r>
      <w:r w:rsidRPr="00924024">
        <w:t xml:space="preserve">Not to keep in force the other </w:t>
      </w:r>
      <w:r>
        <w:t xml:space="preserve">decisions </w:t>
      </w:r>
      <w:r w:rsidRPr="00924024">
        <w:t>adopted before the present session;</w:t>
      </w:r>
    </w:p>
    <w:p w14:paraId="73973119" w14:textId="0507B9F1" w:rsidR="003E6B5B" w:rsidRPr="00B24FC9" w:rsidRDefault="003E6B5B" w:rsidP="003E6B5B">
      <w:pPr>
        <w:pStyle w:val="WMOBodyText"/>
      </w:pPr>
      <w:r w:rsidRPr="00990436">
        <w:rPr>
          <w:b/>
          <w:bCs/>
        </w:rPr>
        <w:t>Further decides</w:t>
      </w:r>
      <w:r>
        <w:rPr>
          <w:b/>
          <w:bCs/>
        </w:rPr>
        <w:t xml:space="preserve"> </w:t>
      </w:r>
      <w:r w:rsidRPr="00990436">
        <w:t>n</w:t>
      </w:r>
      <w:r>
        <w:t xml:space="preserve">ot to keep in force any recommendation adopted before the present session, noting that these recommendations were adopted by the </w:t>
      </w:r>
      <w:r w:rsidR="001A6F41">
        <w:t xml:space="preserve">nineteenth </w:t>
      </w:r>
      <w:r w:rsidR="00C04999">
        <w:t xml:space="preserve">World Meteorological Congress and the </w:t>
      </w:r>
      <w:r>
        <w:t>Executive Council</w:t>
      </w:r>
      <w:r w:rsidR="00C04999">
        <w:t>,</w:t>
      </w:r>
      <w:r>
        <w:t xml:space="preserve"> and the substance was included in </w:t>
      </w:r>
      <w:r w:rsidRPr="00B27731">
        <w:t>a</w:t>
      </w:r>
      <w:r>
        <w:t xml:space="preserve"> </w:t>
      </w:r>
      <w:r w:rsidRPr="00B27731">
        <w:t xml:space="preserve">WMO publication, such as </w:t>
      </w:r>
      <w:r>
        <w:t xml:space="preserve">the </w:t>
      </w:r>
      <w:hyperlink r:id="rId31" w:history="1">
        <w:r w:rsidRPr="00E86DE1">
          <w:rPr>
            <w:rStyle w:val="Hyperlink"/>
            <w:i/>
            <w:iCs/>
          </w:rPr>
          <w:t>Technical R</w:t>
        </w:r>
        <w:r w:rsidRPr="00E86DE1">
          <w:rPr>
            <w:rStyle w:val="Hyperlink"/>
            <w:i/>
            <w:iCs/>
          </w:rPr>
          <w:t>e</w:t>
        </w:r>
        <w:r w:rsidRPr="00E86DE1">
          <w:rPr>
            <w:rStyle w:val="Hyperlink"/>
            <w:i/>
            <w:iCs/>
          </w:rPr>
          <w:t>gulations</w:t>
        </w:r>
        <w:r w:rsidRPr="00E86DE1">
          <w:rPr>
            <w:rStyle w:val="Hyperlink"/>
          </w:rPr>
          <w:t xml:space="preserve"> (</w:t>
        </w:r>
        <w:r w:rsidRPr="00E86DE1">
          <w:rPr>
            <w:rStyle w:val="Hyperlink"/>
            <w:i/>
            <w:iCs/>
          </w:rPr>
          <w:t>Basic Document No.</w:t>
        </w:r>
        <w:r w:rsidR="001A6F41">
          <w:rPr>
            <w:rStyle w:val="Hyperlink"/>
            <w:i/>
            <w:iCs/>
          </w:rPr>
          <w:t> 2</w:t>
        </w:r>
      </w:hyperlink>
      <w:r w:rsidRPr="005128BA">
        <w:rPr>
          <w:i/>
          <w:iCs/>
        </w:rPr>
        <w:t xml:space="preserve"> </w:t>
      </w:r>
      <w:r>
        <w:t>(WMO-No.</w:t>
      </w:r>
      <w:r w:rsidR="001A6F41">
        <w:t> 4</w:t>
      </w:r>
      <w:r>
        <w:t>9)), when appropriate.</w:t>
      </w:r>
    </w:p>
    <w:p w14:paraId="0A438492" w14:textId="77777777" w:rsidR="00A80767" w:rsidRPr="00B24FC9" w:rsidRDefault="00A80767" w:rsidP="00A80767">
      <w:pPr>
        <w:pStyle w:val="WMOBodyText"/>
        <w:jc w:val="center"/>
      </w:pPr>
      <w:r w:rsidRPr="00B24FC9">
        <w:t>__________</w:t>
      </w:r>
    </w:p>
    <w:p w14:paraId="5B418B83" w14:textId="77777777" w:rsidR="00A80767" w:rsidRPr="00B24FC9" w:rsidRDefault="00A80767" w:rsidP="00A80767">
      <w:pPr>
        <w:pStyle w:val="WMOBodyText"/>
      </w:pPr>
      <w:r w:rsidRPr="00B24FC9">
        <w:t>_______</w:t>
      </w:r>
    </w:p>
    <w:p w14:paraId="7C91FC73" w14:textId="77777777" w:rsidR="00A80767" w:rsidRPr="00B24FC9" w:rsidRDefault="00A80767" w:rsidP="00A80767">
      <w:pPr>
        <w:pStyle w:val="WMONote"/>
      </w:pPr>
      <w:r w:rsidRPr="00B24FC9">
        <w:t>Note:</w:t>
      </w:r>
      <w:r w:rsidRPr="00B24FC9">
        <w:tab/>
        <w:t xml:space="preserve">This resolution replaces </w:t>
      </w:r>
      <w:hyperlink r:id="rId32" w:history="1">
        <w:r w:rsidRPr="00A84543">
          <w:rPr>
            <w:rStyle w:val="Hyperlink"/>
          </w:rPr>
          <w:t>Resolutio</w:t>
        </w:r>
        <w:r w:rsidRPr="00A84543">
          <w:rPr>
            <w:rStyle w:val="Hyperlink"/>
          </w:rPr>
          <w:t>n</w:t>
        </w:r>
        <w:r w:rsidR="00A84543" w:rsidRPr="00A84543">
          <w:rPr>
            <w:rStyle w:val="Hyperlink"/>
          </w:rPr>
          <w:t xml:space="preserve"> 5 (INFCOM-2)</w:t>
        </w:r>
      </w:hyperlink>
      <w:r w:rsidRPr="00B24FC9">
        <w:t xml:space="preserve">, which is no longer in force. </w:t>
      </w:r>
    </w:p>
    <w:p w14:paraId="078EBC25" w14:textId="77777777" w:rsidR="00A80767" w:rsidRPr="00B24FC9" w:rsidRDefault="00A80767" w:rsidP="00A80767">
      <w:pPr>
        <w:tabs>
          <w:tab w:val="clear" w:pos="1134"/>
        </w:tabs>
        <w:jc w:val="left"/>
        <w:rPr>
          <w:b/>
          <w:bCs/>
          <w:iCs/>
          <w:szCs w:val="22"/>
          <w:lang w:eastAsia="zh-TW"/>
        </w:rPr>
      </w:pPr>
    </w:p>
    <w:sectPr w:rsidR="00A80767" w:rsidRPr="00B24FC9" w:rsidSect="0020095E">
      <w:headerReference w:type="even" r:id="rId33"/>
      <w:headerReference w:type="default" r:id="rId34"/>
      <w:headerReference w:type="first" r:id="rId3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F5482" w14:textId="77777777" w:rsidR="00920864" w:rsidRDefault="00920864">
      <w:r>
        <w:separator/>
      </w:r>
    </w:p>
    <w:p w14:paraId="5209C4E9" w14:textId="77777777" w:rsidR="00920864" w:rsidRDefault="00920864"/>
    <w:p w14:paraId="5BD3F5A3" w14:textId="77777777" w:rsidR="00920864" w:rsidRDefault="00920864"/>
  </w:endnote>
  <w:endnote w:type="continuationSeparator" w:id="0">
    <w:p w14:paraId="5FC67A63" w14:textId="77777777" w:rsidR="00920864" w:rsidRDefault="00920864">
      <w:r>
        <w:continuationSeparator/>
      </w:r>
    </w:p>
    <w:p w14:paraId="5C520E64" w14:textId="77777777" w:rsidR="00920864" w:rsidRDefault="00920864"/>
    <w:p w14:paraId="52FEF7C8" w14:textId="77777777" w:rsidR="00920864" w:rsidRDefault="00920864"/>
  </w:endnote>
  <w:endnote w:type="continuationNotice" w:id="1">
    <w:p w14:paraId="040ED6B1" w14:textId="77777777" w:rsidR="00920864" w:rsidRDefault="009208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1255C" w14:textId="77777777" w:rsidR="00920864" w:rsidRDefault="00920864">
      <w:r>
        <w:separator/>
      </w:r>
    </w:p>
  </w:footnote>
  <w:footnote w:type="continuationSeparator" w:id="0">
    <w:p w14:paraId="3684F887" w14:textId="77777777" w:rsidR="00920864" w:rsidRDefault="00920864">
      <w:r>
        <w:continuationSeparator/>
      </w:r>
    </w:p>
    <w:p w14:paraId="263F2A43" w14:textId="77777777" w:rsidR="00920864" w:rsidRDefault="00920864"/>
    <w:p w14:paraId="6045104C" w14:textId="77777777" w:rsidR="00920864" w:rsidRDefault="00920864"/>
  </w:footnote>
  <w:footnote w:type="continuationNotice" w:id="1">
    <w:p w14:paraId="1350B4EC" w14:textId="77777777" w:rsidR="00920864" w:rsidRDefault="009208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D100" w14:textId="77777777" w:rsidR="007D5236" w:rsidRDefault="0023041C">
    <w:pPr>
      <w:pStyle w:val="Header"/>
    </w:pPr>
    <w:r>
      <w:rPr>
        <w:noProof/>
      </w:rPr>
      <w:pict w14:anchorId="55CFC217">
        <v:shapetype id="_x0000_m104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1E55D7CE">
        <v:shape id="_x0000_s1025" type="#_x0000_m1044" style="position:absolute;left:0;text-align:left;margin-left:0;margin-top:0;width:595.3pt;height:550pt;z-index:-251652096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2EF0AF50" w14:textId="77777777" w:rsidR="00C20F28" w:rsidRDefault="00C20F28"/>
  <w:p w14:paraId="62826062" w14:textId="77777777" w:rsidR="007D5236" w:rsidRDefault="0023041C">
    <w:pPr>
      <w:pStyle w:val="Header"/>
    </w:pPr>
    <w:r>
      <w:rPr>
        <w:noProof/>
      </w:rPr>
      <w:pict w14:anchorId="5E44BF71">
        <v:shapetype id="_x0000_m104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E714871">
        <v:shape id="_x0000_s1027" type="#_x0000_m1043" style="position:absolute;left:0;text-align:left;margin-left:0;margin-top:0;width:595.3pt;height:550pt;z-index:-251653120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3EB88504" w14:textId="77777777" w:rsidR="00C20F28" w:rsidRDefault="00C20F28"/>
  <w:p w14:paraId="47D3B621" w14:textId="77777777" w:rsidR="007D5236" w:rsidRDefault="0023041C">
    <w:pPr>
      <w:pStyle w:val="Header"/>
    </w:pPr>
    <w:r>
      <w:rPr>
        <w:noProof/>
      </w:rPr>
      <w:pict w14:anchorId="2AF4CA3A">
        <v:shapetype id="_x0000_m104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BFEEF3C">
        <v:shape id="_x0000_s1029" type="#_x0000_m1042" style="position:absolute;left:0;text-align:left;margin-left:0;margin-top:0;width:595.3pt;height:550pt;z-index:-251654144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DD6E" w14:textId="2C7373C9" w:rsidR="00A432CD" w:rsidRDefault="001E2844" w:rsidP="00B72444">
    <w:pPr>
      <w:pStyle w:val="Header"/>
    </w:pPr>
    <w:r>
      <w:t>INFCOM-3/Doc. 4.1</w:t>
    </w:r>
    <w:r w:rsidR="00A432CD" w:rsidRPr="00C2459D">
      <w:t xml:space="preserve">, DRAFT 1,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23041C">
      <w:pict w14:anchorId="4E2C944F">
        <v:shapetype id="_x0000_m104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 w:rsidR="0023041C">
      <w:pict w14:anchorId="51869A70">
        <v:shapetype id="_x0000_m104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BC30" w14:textId="124ED61B" w:rsidR="007D5236" w:rsidRDefault="0023041C">
    <w:pPr>
      <w:pStyle w:val="Header"/>
    </w:pPr>
    <w:r>
      <w:pict w14:anchorId="22187ED0">
        <v:shapetype id="_x0000_m103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5D5B7422">
        <v:shapetype id="_x0000_m103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0"/>
  </w:num>
  <w:num w:numId="2" w16cid:durableId="1947811521">
    <w:abstractNumId w:val="45"/>
  </w:num>
  <w:num w:numId="3" w16cid:durableId="957833695">
    <w:abstractNumId w:val="28"/>
  </w:num>
  <w:num w:numId="4" w16cid:durableId="968783429">
    <w:abstractNumId w:val="37"/>
  </w:num>
  <w:num w:numId="5" w16cid:durableId="1172719492">
    <w:abstractNumId w:val="18"/>
  </w:num>
  <w:num w:numId="6" w16cid:durableId="871111230">
    <w:abstractNumId w:val="23"/>
  </w:num>
  <w:num w:numId="7" w16cid:durableId="444038620">
    <w:abstractNumId w:val="19"/>
  </w:num>
  <w:num w:numId="8" w16cid:durableId="1023558460">
    <w:abstractNumId w:val="31"/>
  </w:num>
  <w:num w:numId="9" w16cid:durableId="232200402">
    <w:abstractNumId w:val="22"/>
  </w:num>
  <w:num w:numId="10" w16cid:durableId="1165822976">
    <w:abstractNumId w:val="21"/>
  </w:num>
  <w:num w:numId="11" w16cid:durableId="743069636">
    <w:abstractNumId w:val="36"/>
  </w:num>
  <w:num w:numId="12" w16cid:durableId="311106282">
    <w:abstractNumId w:val="12"/>
  </w:num>
  <w:num w:numId="13" w16cid:durableId="1415858570">
    <w:abstractNumId w:val="26"/>
  </w:num>
  <w:num w:numId="14" w16cid:durableId="1330016602">
    <w:abstractNumId w:val="41"/>
  </w:num>
  <w:num w:numId="15" w16cid:durableId="1578437121">
    <w:abstractNumId w:val="20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3"/>
  </w:num>
  <w:num w:numId="27" w16cid:durableId="981154153">
    <w:abstractNumId w:val="32"/>
  </w:num>
  <w:num w:numId="28" w16cid:durableId="433549528">
    <w:abstractNumId w:val="24"/>
  </w:num>
  <w:num w:numId="29" w16cid:durableId="1340351636">
    <w:abstractNumId w:val="33"/>
  </w:num>
  <w:num w:numId="30" w16cid:durableId="1982615580">
    <w:abstractNumId w:val="34"/>
  </w:num>
  <w:num w:numId="31" w16cid:durableId="1677540972">
    <w:abstractNumId w:val="15"/>
  </w:num>
  <w:num w:numId="32" w16cid:durableId="1759134454">
    <w:abstractNumId w:val="40"/>
  </w:num>
  <w:num w:numId="33" w16cid:durableId="17509296">
    <w:abstractNumId w:val="38"/>
  </w:num>
  <w:num w:numId="34" w16cid:durableId="1173759437">
    <w:abstractNumId w:val="25"/>
  </w:num>
  <w:num w:numId="35" w16cid:durableId="1719015953">
    <w:abstractNumId w:val="27"/>
  </w:num>
  <w:num w:numId="36" w16cid:durableId="1718235807">
    <w:abstractNumId w:val="44"/>
  </w:num>
  <w:num w:numId="37" w16cid:durableId="1186364771">
    <w:abstractNumId w:val="35"/>
  </w:num>
  <w:num w:numId="38" w16cid:durableId="48847439">
    <w:abstractNumId w:val="13"/>
  </w:num>
  <w:num w:numId="39" w16cid:durableId="526020190">
    <w:abstractNumId w:val="14"/>
  </w:num>
  <w:num w:numId="40" w16cid:durableId="1029066223">
    <w:abstractNumId w:val="16"/>
  </w:num>
  <w:num w:numId="41" w16cid:durableId="1108429133">
    <w:abstractNumId w:val="10"/>
  </w:num>
  <w:num w:numId="42" w16cid:durableId="1761101224">
    <w:abstractNumId w:val="42"/>
  </w:num>
  <w:num w:numId="43" w16cid:durableId="592015029">
    <w:abstractNumId w:val="17"/>
  </w:num>
  <w:num w:numId="44" w16cid:durableId="1542397698">
    <w:abstractNumId w:val="29"/>
  </w:num>
  <w:num w:numId="45" w16cid:durableId="803498138">
    <w:abstractNumId w:val="39"/>
  </w:num>
  <w:num w:numId="46" w16cid:durableId="10746686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44"/>
    <w:rsid w:val="00005291"/>
    <w:rsid w:val="00005301"/>
    <w:rsid w:val="000133EE"/>
    <w:rsid w:val="00017F7F"/>
    <w:rsid w:val="000206A8"/>
    <w:rsid w:val="00027205"/>
    <w:rsid w:val="0003137A"/>
    <w:rsid w:val="00031B1F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184E"/>
    <w:rsid w:val="000A4F1C"/>
    <w:rsid w:val="000A69BF"/>
    <w:rsid w:val="000C225A"/>
    <w:rsid w:val="000C6781"/>
    <w:rsid w:val="000D0753"/>
    <w:rsid w:val="000E3B9A"/>
    <w:rsid w:val="000E7B67"/>
    <w:rsid w:val="000F2B6B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45EB9"/>
    <w:rsid w:val="00150DBD"/>
    <w:rsid w:val="00154EF7"/>
    <w:rsid w:val="00156F9B"/>
    <w:rsid w:val="00163BA3"/>
    <w:rsid w:val="00166B31"/>
    <w:rsid w:val="00167D54"/>
    <w:rsid w:val="00171E9D"/>
    <w:rsid w:val="00176AB5"/>
    <w:rsid w:val="00180771"/>
    <w:rsid w:val="00190854"/>
    <w:rsid w:val="001923DE"/>
    <w:rsid w:val="001930A3"/>
    <w:rsid w:val="00196EB8"/>
    <w:rsid w:val="001A25F0"/>
    <w:rsid w:val="001A341E"/>
    <w:rsid w:val="001A6F41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2844"/>
    <w:rsid w:val="001E2C22"/>
    <w:rsid w:val="001E740C"/>
    <w:rsid w:val="001E7DD0"/>
    <w:rsid w:val="001F1BDA"/>
    <w:rsid w:val="001F3E4C"/>
    <w:rsid w:val="0020095E"/>
    <w:rsid w:val="00210BFE"/>
    <w:rsid w:val="00210D30"/>
    <w:rsid w:val="002204FD"/>
    <w:rsid w:val="00221020"/>
    <w:rsid w:val="00227029"/>
    <w:rsid w:val="0023041C"/>
    <w:rsid w:val="002308B5"/>
    <w:rsid w:val="00233C0B"/>
    <w:rsid w:val="00234A34"/>
    <w:rsid w:val="0025255D"/>
    <w:rsid w:val="00255EE3"/>
    <w:rsid w:val="00256B3D"/>
    <w:rsid w:val="0026743C"/>
    <w:rsid w:val="00270480"/>
    <w:rsid w:val="00272189"/>
    <w:rsid w:val="002779AF"/>
    <w:rsid w:val="002823D8"/>
    <w:rsid w:val="0028531A"/>
    <w:rsid w:val="00285446"/>
    <w:rsid w:val="00290082"/>
    <w:rsid w:val="00295593"/>
    <w:rsid w:val="002A354F"/>
    <w:rsid w:val="002A386C"/>
    <w:rsid w:val="002A54D3"/>
    <w:rsid w:val="002B09DF"/>
    <w:rsid w:val="002B2D7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8D4"/>
    <w:rsid w:val="00340C69"/>
    <w:rsid w:val="00342E34"/>
    <w:rsid w:val="00364DDA"/>
    <w:rsid w:val="0036535A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7016"/>
    <w:rsid w:val="003B0C08"/>
    <w:rsid w:val="003C17A5"/>
    <w:rsid w:val="003C1843"/>
    <w:rsid w:val="003C336B"/>
    <w:rsid w:val="003D1552"/>
    <w:rsid w:val="003E381F"/>
    <w:rsid w:val="003E4046"/>
    <w:rsid w:val="003E6B5B"/>
    <w:rsid w:val="003F003A"/>
    <w:rsid w:val="003F125B"/>
    <w:rsid w:val="003F7B3F"/>
    <w:rsid w:val="004058AD"/>
    <w:rsid w:val="0041078D"/>
    <w:rsid w:val="0041464A"/>
    <w:rsid w:val="00416BE1"/>
    <w:rsid w:val="00416F97"/>
    <w:rsid w:val="00425173"/>
    <w:rsid w:val="0043039B"/>
    <w:rsid w:val="00432ED0"/>
    <w:rsid w:val="00436197"/>
    <w:rsid w:val="004423FE"/>
    <w:rsid w:val="00445C35"/>
    <w:rsid w:val="00451C0D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A7EDD"/>
    <w:rsid w:val="004B0EC9"/>
    <w:rsid w:val="004B7BAA"/>
    <w:rsid w:val="004C2DF7"/>
    <w:rsid w:val="004C4E0B"/>
    <w:rsid w:val="004C6B2F"/>
    <w:rsid w:val="004D04EA"/>
    <w:rsid w:val="004D13F3"/>
    <w:rsid w:val="004D497E"/>
    <w:rsid w:val="004E4809"/>
    <w:rsid w:val="004E4CC3"/>
    <w:rsid w:val="004E5985"/>
    <w:rsid w:val="004E6352"/>
    <w:rsid w:val="004E6460"/>
    <w:rsid w:val="004F6B46"/>
    <w:rsid w:val="0050425E"/>
    <w:rsid w:val="00507E45"/>
    <w:rsid w:val="00511999"/>
    <w:rsid w:val="005131AC"/>
    <w:rsid w:val="005145D6"/>
    <w:rsid w:val="005206C0"/>
    <w:rsid w:val="00521EA5"/>
    <w:rsid w:val="00525B80"/>
    <w:rsid w:val="0053098F"/>
    <w:rsid w:val="00536B2E"/>
    <w:rsid w:val="00546D8E"/>
    <w:rsid w:val="00553738"/>
    <w:rsid w:val="00553F7E"/>
    <w:rsid w:val="0056646F"/>
    <w:rsid w:val="00571AE1"/>
    <w:rsid w:val="00581B28"/>
    <w:rsid w:val="0058468F"/>
    <w:rsid w:val="00584F99"/>
    <w:rsid w:val="005859C2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6029A6"/>
    <w:rsid w:val="00604802"/>
    <w:rsid w:val="00615AB0"/>
    <w:rsid w:val="00616247"/>
    <w:rsid w:val="0061778C"/>
    <w:rsid w:val="0063469C"/>
    <w:rsid w:val="00636B90"/>
    <w:rsid w:val="0064738B"/>
    <w:rsid w:val="006508EA"/>
    <w:rsid w:val="006525E0"/>
    <w:rsid w:val="00667E86"/>
    <w:rsid w:val="0068392D"/>
    <w:rsid w:val="00697DB5"/>
    <w:rsid w:val="006A1B33"/>
    <w:rsid w:val="006A492A"/>
    <w:rsid w:val="006A5219"/>
    <w:rsid w:val="006A6503"/>
    <w:rsid w:val="006B1604"/>
    <w:rsid w:val="006B5C72"/>
    <w:rsid w:val="006B7C5A"/>
    <w:rsid w:val="006C289D"/>
    <w:rsid w:val="006D0310"/>
    <w:rsid w:val="006D0A56"/>
    <w:rsid w:val="006D2009"/>
    <w:rsid w:val="006D5576"/>
    <w:rsid w:val="006E766D"/>
    <w:rsid w:val="006F02A0"/>
    <w:rsid w:val="006F37C4"/>
    <w:rsid w:val="006F4B29"/>
    <w:rsid w:val="006F6CE9"/>
    <w:rsid w:val="006F72FD"/>
    <w:rsid w:val="0070517C"/>
    <w:rsid w:val="00705C9F"/>
    <w:rsid w:val="00716951"/>
    <w:rsid w:val="00720F6B"/>
    <w:rsid w:val="00730ADA"/>
    <w:rsid w:val="00732C37"/>
    <w:rsid w:val="00735D9E"/>
    <w:rsid w:val="00745A09"/>
    <w:rsid w:val="00751EAF"/>
    <w:rsid w:val="00754CF7"/>
    <w:rsid w:val="00757B0D"/>
    <w:rsid w:val="00761320"/>
    <w:rsid w:val="00761F34"/>
    <w:rsid w:val="0076444E"/>
    <w:rsid w:val="007651B1"/>
    <w:rsid w:val="007666EB"/>
    <w:rsid w:val="00767CE1"/>
    <w:rsid w:val="00771A68"/>
    <w:rsid w:val="00773E9F"/>
    <w:rsid w:val="007744D2"/>
    <w:rsid w:val="00784300"/>
    <w:rsid w:val="00786136"/>
    <w:rsid w:val="007A6F6B"/>
    <w:rsid w:val="007B05CF"/>
    <w:rsid w:val="007C212A"/>
    <w:rsid w:val="007C2A7F"/>
    <w:rsid w:val="007D5236"/>
    <w:rsid w:val="007D5B3C"/>
    <w:rsid w:val="007E5FFA"/>
    <w:rsid w:val="007E7D21"/>
    <w:rsid w:val="007E7DBD"/>
    <w:rsid w:val="007F482F"/>
    <w:rsid w:val="007F6ABE"/>
    <w:rsid w:val="007F7C94"/>
    <w:rsid w:val="00800633"/>
    <w:rsid w:val="00802016"/>
    <w:rsid w:val="0080398D"/>
    <w:rsid w:val="00805174"/>
    <w:rsid w:val="00806385"/>
    <w:rsid w:val="00807CC5"/>
    <w:rsid w:val="00807ED7"/>
    <w:rsid w:val="00814CC6"/>
    <w:rsid w:val="0082224C"/>
    <w:rsid w:val="00826D53"/>
    <w:rsid w:val="008273AA"/>
    <w:rsid w:val="00831751"/>
    <w:rsid w:val="00833369"/>
    <w:rsid w:val="00835B42"/>
    <w:rsid w:val="00842A4E"/>
    <w:rsid w:val="008441DE"/>
    <w:rsid w:val="00846D31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756FA"/>
    <w:rsid w:val="0088163A"/>
    <w:rsid w:val="00893376"/>
    <w:rsid w:val="0089601F"/>
    <w:rsid w:val="008970B8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11A04"/>
    <w:rsid w:val="00920506"/>
    <w:rsid w:val="00920864"/>
    <w:rsid w:val="00931DEB"/>
    <w:rsid w:val="0093215A"/>
    <w:rsid w:val="00933957"/>
    <w:rsid w:val="009356FA"/>
    <w:rsid w:val="00942A77"/>
    <w:rsid w:val="0094603B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A288C"/>
    <w:rsid w:val="009A56F5"/>
    <w:rsid w:val="009A64C1"/>
    <w:rsid w:val="009B6697"/>
    <w:rsid w:val="009C2B43"/>
    <w:rsid w:val="009C2EA4"/>
    <w:rsid w:val="009C4C04"/>
    <w:rsid w:val="009D5213"/>
    <w:rsid w:val="009E1C95"/>
    <w:rsid w:val="009F196A"/>
    <w:rsid w:val="009F669B"/>
    <w:rsid w:val="009F7566"/>
    <w:rsid w:val="009F7F18"/>
    <w:rsid w:val="00A02A72"/>
    <w:rsid w:val="00A0608F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5555"/>
    <w:rsid w:val="00A771FD"/>
    <w:rsid w:val="00A80767"/>
    <w:rsid w:val="00A81C90"/>
    <w:rsid w:val="00A84543"/>
    <w:rsid w:val="00A84B75"/>
    <w:rsid w:val="00A850AB"/>
    <w:rsid w:val="00A874EF"/>
    <w:rsid w:val="00A95415"/>
    <w:rsid w:val="00A975AD"/>
    <w:rsid w:val="00AA3C89"/>
    <w:rsid w:val="00AA71EA"/>
    <w:rsid w:val="00AB1D11"/>
    <w:rsid w:val="00AB32BD"/>
    <w:rsid w:val="00AB4723"/>
    <w:rsid w:val="00AC4CDB"/>
    <w:rsid w:val="00AC70FE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4085"/>
    <w:rsid w:val="00B056E7"/>
    <w:rsid w:val="00B05B71"/>
    <w:rsid w:val="00B10035"/>
    <w:rsid w:val="00B146AA"/>
    <w:rsid w:val="00B15C76"/>
    <w:rsid w:val="00B165E6"/>
    <w:rsid w:val="00B235DB"/>
    <w:rsid w:val="00B379AD"/>
    <w:rsid w:val="00B424D9"/>
    <w:rsid w:val="00B447C0"/>
    <w:rsid w:val="00B52510"/>
    <w:rsid w:val="00B53E53"/>
    <w:rsid w:val="00B548A2"/>
    <w:rsid w:val="00B56934"/>
    <w:rsid w:val="00B62F03"/>
    <w:rsid w:val="00B6766A"/>
    <w:rsid w:val="00B72444"/>
    <w:rsid w:val="00B93B62"/>
    <w:rsid w:val="00B953D1"/>
    <w:rsid w:val="00B95639"/>
    <w:rsid w:val="00B96D93"/>
    <w:rsid w:val="00BA30D0"/>
    <w:rsid w:val="00BA4856"/>
    <w:rsid w:val="00BB0D32"/>
    <w:rsid w:val="00BC133C"/>
    <w:rsid w:val="00BC27DC"/>
    <w:rsid w:val="00BC76B5"/>
    <w:rsid w:val="00BD5420"/>
    <w:rsid w:val="00BE24A7"/>
    <w:rsid w:val="00BF5191"/>
    <w:rsid w:val="00C04999"/>
    <w:rsid w:val="00C04BD2"/>
    <w:rsid w:val="00C121C1"/>
    <w:rsid w:val="00C13EEC"/>
    <w:rsid w:val="00C14689"/>
    <w:rsid w:val="00C156A4"/>
    <w:rsid w:val="00C20F28"/>
    <w:rsid w:val="00C20FAA"/>
    <w:rsid w:val="00C23509"/>
    <w:rsid w:val="00C2459D"/>
    <w:rsid w:val="00C2755A"/>
    <w:rsid w:val="00C316F1"/>
    <w:rsid w:val="00C42C95"/>
    <w:rsid w:val="00C4470F"/>
    <w:rsid w:val="00C455B6"/>
    <w:rsid w:val="00C50727"/>
    <w:rsid w:val="00C55E5B"/>
    <w:rsid w:val="00C62739"/>
    <w:rsid w:val="00C673F1"/>
    <w:rsid w:val="00C720A4"/>
    <w:rsid w:val="00C74F59"/>
    <w:rsid w:val="00C7611C"/>
    <w:rsid w:val="00C80F80"/>
    <w:rsid w:val="00C91782"/>
    <w:rsid w:val="00C94097"/>
    <w:rsid w:val="00CA4269"/>
    <w:rsid w:val="00CA48CA"/>
    <w:rsid w:val="00CA6600"/>
    <w:rsid w:val="00CA7330"/>
    <w:rsid w:val="00CB1C84"/>
    <w:rsid w:val="00CB5363"/>
    <w:rsid w:val="00CB64F0"/>
    <w:rsid w:val="00CB68AD"/>
    <w:rsid w:val="00CC2909"/>
    <w:rsid w:val="00CD0549"/>
    <w:rsid w:val="00CE6B3C"/>
    <w:rsid w:val="00D05E6F"/>
    <w:rsid w:val="00D16766"/>
    <w:rsid w:val="00D20296"/>
    <w:rsid w:val="00D2231A"/>
    <w:rsid w:val="00D276BD"/>
    <w:rsid w:val="00D27929"/>
    <w:rsid w:val="00D27CEA"/>
    <w:rsid w:val="00D33442"/>
    <w:rsid w:val="00D419C6"/>
    <w:rsid w:val="00D44BAD"/>
    <w:rsid w:val="00D45B55"/>
    <w:rsid w:val="00D4785A"/>
    <w:rsid w:val="00D52E43"/>
    <w:rsid w:val="00D61E12"/>
    <w:rsid w:val="00D6472C"/>
    <w:rsid w:val="00D664D7"/>
    <w:rsid w:val="00D67E1E"/>
    <w:rsid w:val="00D7097B"/>
    <w:rsid w:val="00D7197D"/>
    <w:rsid w:val="00D72BC4"/>
    <w:rsid w:val="00D815FC"/>
    <w:rsid w:val="00D84885"/>
    <w:rsid w:val="00D8517B"/>
    <w:rsid w:val="00D91DFA"/>
    <w:rsid w:val="00DA0E5A"/>
    <w:rsid w:val="00DA159A"/>
    <w:rsid w:val="00DA3EB1"/>
    <w:rsid w:val="00DA7C7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033FA"/>
    <w:rsid w:val="00E1464C"/>
    <w:rsid w:val="00E14ADB"/>
    <w:rsid w:val="00E22F78"/>
    <w:rsid w:val="00E2425D"/>
    <w:rsid w:val="00E24F87"/>
    <w:rsid w:val="00E2617A"/>
    <w:rsid w:val="00E273FB"/>
    <w:rsid w:val="00E31CD4"/>
    <w:rsid w:val="00E4566C"/>
    <w:rsid w:val="00E538E6"/>
    <w:rsid w:val="00E56696"/>
    <w:rsid w:val="00E669EA"/>
    <w:rsid w:val="00E74332"/>
    <w:rsid w:val="00E768A9"/>
    <w:rsid w:val="00E77399"/>
    <w:rsid w:val="00E802A2"/>
    <w:rsid w:val="00E8410F"/>
    <w:rsid w:val="00E8597B"/>
    <w:rsid w:val="00E85C0B"/>
    <w:rsid w:val="00E86DE1"/>
    <w:rsid w:val="00EA7089"/>
    <w:rsid w:val="00EB0ADE"/>
    <w:rsid w:val="00EB13D7"/>
    <w:rsid w:val="00EB1E83"/>
    <w:rsid w:val="00ED22CB"/>
    <w:rsid w:val="00ED4BB1"/>
    <w:rsid w:val="00ED67AF"/>
    <w:rsid w:val="00EE11F0"/>
    <w:rsid w:val="00EE128C"/>
    <w:rsid w:val="00EE4C48"/>
    <w:rsid w:val="00EE4E55"/>
    <w:rsid w:val="00EE5D2E"/>
    <w:rsid w:val="00EE7E6F"/>
    <w:rsid w:val="00EF66D9"/>
    <w:rsid w:val="00EF68E3"/>
    <w:rsid w:val="00EF6BA5"/>
    <w:rsid w:val="00EF780D"/>
    <w:rsid w:val="00EF7A98"/>
    <w:rsid w:val="00F0247A"/>
    <w:rsid w:val="00F0267E"/>
    <w:rsid w:val="00F071A1"/>
    <w:rsid w:val="00F071B2"/>
    <w:rsid w:val="00F11B47"/>
    <w:rsid w:val="00F16E03"/>
    <w:rsid w:val="00F2412D"/>
    <w:rsid w:val="00F25D8D"/>
    <w:rsid w:val="00F3069C"/>
    <w:rsid w:val="00F3603E"/>
    <w:rsid w:val="00F40EBA"/>
    <w:rsid w:val="00F44CCB"/>
    <w:rsid w:val="00F44D3A"/>
    <w:rsid w:val="00F474C9"/>
    <w:rsid w:val="00F5126B"/>
    <w:rsid w:val="00F54EA3"/>
    <w:rsid w:val="00F60102"/>
    <w:rsid w:val="00F60BA9"/>
    <w:rsid w:val="00F61675"/>
    <w:rsid w:val="00F6686B"/>
    <w:rsid w:val="00F67F74"/>
    <w:rsid w:val="00F712B3"/>
    <w:rsid w:val="00F71E9F"/>
    <w:rsid w:val="00F73DE3"/>
    <w:rsid w:val="00F744BF"/>
    <w:rsid w:val="00F7632C"/>
    <w:rsid w:val="00F76F25"/>
    <w:rsid w:val="00F77219"/>
    <w:rsid w:val="00F81105"/>
    <w:rsid w:val="00F84DD2"/>
    <w:rsid w:val="00F95439"/>
    <w:rsid w:val="00FA7416"/>
    <w:rsid w:val="00FB0872"/>
    <w:rsid w:val="00FB54CC"/>
    <w:rsid w:val="00FD1A37"/>
    <w:rsid w:val="00FD299E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BA36898"/>
  <w15:docId w15:val="{9C4BCA24-A075-459A-A04B-A7CD1FF3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41DE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uiPriority w:val="99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E6B5B"/>
  </w:style>
  <w:style w:type="character" w:customStyle="1" w:styleId="eop">
    <w:name w:val="eop"/>
    <w:basedOn w:val="DefaultParagraphFont"/>
    <w:rsid w:val="003E6B5B"/>
  </w:style>
  <w:style w:type="paragraph" w:styleId="ListParagraph">
    <w:name w:val="List Paragraph"/>
    <w:basedOn w:val="Normal"/>
    <w:qFormat/>
    <w:rsid w:val="003E6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records/item/56841-rules-of-procedure-for-technical-commissions?offset=5" TargetMode="External"/><Relationship Id="rId18" Type="http://schemas.openxmlformats.org/officeDocument/2006/relationships/hyperlink" Target="https://library.wmo.int/doc_num.php?explnum_id=11197" TargetMode="External"/><Relationship Id="rId26" Type="http://schemas.openxmlformats.org/officeDocument/2006/relationships/hyperlink" Target="https://library.wmo.int/idviewer/66287/150" TargetMode="External"/><Relationship Id="rId21" Type="http://schemas.openxmlformats.org/officeDocument/2006/relationships/hyperlink" Target="https://library.wmo.int/doc_num.php?explnum_id=11197" TargetMode="External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dviewer/56841/20" TargetMode="External"/><Relationship Id="rId17" Type="http://schemas.openxmlformats.org/officeDocument/2006/relationships/hyperlink" Target="https://library.wmo.int/doc_num.php?explnum_id=11197" TargetMode="External"/><Relationship Id="rId25" Type="http://schemas.openxmlformats.org/officeDocument/2006/relationships/hyperlink" Target="https://library.wmo.int/idviewer/66287/141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197" TargetMode="External"/><Relationship Id="rId20" Type="http://schemas.openxmlformats.org/officeDocument/2006/relationships/hyperlink" Target="https://library.wmo.int/doc_num.php?explnum_id=11197" TargetMode="External"/><Relationship Id="rId29" Type="http://schemas.openxmlformats.org/officeDocument/2006/relationships/hyperlink" Target="https://library.wmo.int/idviewer/66287/23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idviewer/66287/123" TargetMode="External"/><Relationship Id="rId32" Type="http://schemas.openxmlformats.org/officeDocument/2006/relationships/hyperlink" Target="https://library.wmo.int/idviewer/66287/94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1197" TargetMode="External"/><Relationship Id="rId23" Type="http://schemas.openxmlformats.org/officeDocument/2006/relationships/hyperlink" Target="https://library.wmo.int/doc_num.php?explnum_id=11197" TargetMode="External"/><Relationship Id="rId28" Type="http://schemas.openxmlformats.org/officeDocument/2006/relationships/hyperlink" Target="https://library.wmo.int/idviewer/66287/189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idviewer/66287/76" TargetMode="External"/><Relationship Id="rId31" Type="http://schemas.openxmlformats.org/officeDocument/2006/relationships/hyperlink" Target="https://library.wmo.int/records/item/35732-technical-regulations?language_id=&amp;offset=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INFCOM-3/InformationDocuments/Forms/AllItems.aspx" TargetMode="External"/><Relationship Id="rId22" Type="http://schemas.openxmlformats.org/officeDocument/2006/relationships/hyperlink" Target="https://library.wmo.int/doc_num.php?explnum_id=11197" TargetMode="External"/><Relationship Id="rId27" Type="http://schemas.openxmlformats.org/officeDocument/2006/relationships/hyperlink" Target="https://library.wmo.int/idviewer/66287/189" TargetMode="External"/><Relationship Id="rId30" Type="http://schemas.openxmlformats.org/officeDocument/2006/relationships/hyperlink" Target="https://library.wmo.int/idviewer/66287/241" TargetMode="External"/><Relationship Id="rId35" Type="http://schemas.openxmlformats.org/officeDocument/2006/relationships/header" Target="head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haredWithUsers xmlns="f14d876b-62cc-43bb-abc1-9d013efad75e">
      <UserInfo>
        <DisplayName>Andrew Martrich</DisplayName>
        <AccountId>1500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71E8FB5B01D43B168B9506F021EE5" ma:contentTypeVersion="" ma:contentTypeDescription="Create a new document." ma:contentTypeScope="" ma:versionID="534b382fb74a8cd7aca91bbf248ff634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1AD456-E90C-42C0-BB7F-FD140E565931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3679bf0f-1d7e-438f-afa5-6ebf1e20f9b8"/>
    <ds:schemaRef ds:uri="http://purl.org/dc/dcmitype/"/>
    <ds:schemaRef ds:uri="http://purl.org/dc/terms/"/>
    <ds:schemaRef ds:uri="http://schemas.microsoft.com/office/infopath/2007/PartnerControls"/>
    <ds:schemaRef ds:uri="ce21bc6c-711a-4065-a01c-a8f0e29e3ad8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B34CFE-DF03-49CB-9386-1E03364833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5848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Jitsuko Hasegawa</dc:creator>
  <cp:lastModifiedBy>Cecilia Cameron</cp:lastModifiedBy>
  <cp:revision>2</cp:revision>
  <cp:lastPrinted>2013-03-12T09:27:00Z</cp:lastPrinted>
  <dcterms:created xsi:type="dcterms:W3CDTF">2024-03-05T10:14:00Z</dcterms:created>
  <dcterms:modified xsi:type="dcterms:W3CDTF">2024-03-05T10:14:00Z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0x010100F2B71E8FB5B01D43B168B9506F021EE5</vt:lpwstr>
  </property>
  <property fmtid="{D5CDD505-2E9C-101B-9397-08002B2CF9AE}" pid="3" name="MediaServiceImageTags">
    <vt:lpwstr/>
  </property>
</Properties>
</file>